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VERMONT STANDARD LEASE AGREEMENT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THE PARTIES</w:t>
      </w:r>
      <w:r>
        <w:rPr>
          <w:rFonts w:cs="Arial" w:ascii="Times New Roman" w:hAnsi="Times New Roman"/>
          <w:sz w:val="24"/>
        </w:rPr>
        <w:t>. This Residential Lease Agreement (“Agreement”) is made on the undersigned date by and between:</w:t>
      </w:r>
    </w:p>
    <w:p>
      <w:pPr>
        <w:pStyle w:val="ListParagraph"/>
        <w:ind w:start="360"/>
        <w:rPr>
          <w:rFonts w:ascii="Arial" w:hAnsi="Arial" w:cs="Arial"/>
          <w:b/>
          <w:bCs/>
        </w:rPr>
      </w:pPr>
      <w:r>
        <w:rPr>
          <w:rFonts w:cs="Arial" w:ascii="Arial" w:hAnsi="Arial"/>
          <w:b/>
          <w:bCs/>
        </w:rPr>
      </w:r>
    </w:p>
    <w:p>
      <w:pPr>
        <w:pStyle w:val="ListParagraph"/>
        <w:ind w:start="360"/>
        <w:rPr>
          <w:rFonts w:ascii="Arial" w:hAnsi="Arial" w:cs="Arial"/>
          <w:u w:val="single"/>
        </w:rPr>
      </w:pPr>
      <w:r>
        <w:rPr>
          <w:rFonts w:cs="Arial" w:ascii="Times New Roman" w:hAnsi="Times New Roman"/>
          <w:sz w:val="24"/>
          <w:u w:val="single"/>
        </w:rPr>
        <w:t>Landlord</w:t>
      </w:r>
    </w:p>
    <w:p>
      <w:pPr>
        <w:pStyle w:val="ListParagraph"/>
        <w:ind w:start="360"/>
        <w:rPr>
          <w:rFonts w:ascii="Arial" w:hAnsi="Arial" w:cs="Arial"/>
          <w:u w:val="single"/>
        </w:rPr>
      </w:pPr>
      <w:r>
        <w:rPr>
          <w:rFonts w:cs="Arial" w:ascii="Arial" w:hAnsi="Arial"/>
          <w:u w:val="single"/>
        </w:rPr>
      </w:r>
    </w:p>
    <w:p>
      <w:pPr>
        <w:pStyle w:val="Normal"/>
        <w:ind w:start="720"/>
        <w:rPr>
          <w:rFonts w:ascii="Arial" w:hAnsi="Arial" w:cs="Arial"/>
        </w:rPr>
      </w:pPr>
      <w:r>
        <w:rPr>
          <w:rFonts w:cs="Arial" w:ascii="Times New Roman" w:hAnsi="Times New Roman"/>
          <w:sz w:val="24"/>
        </w:rPr>
        <w:t xml:space="preserve">Landlord's Name: </w:t>
      </w:r>
      <w:r>
        <w:fldChar w:fldCharType="begin">
          <w:ffData>
            <w:name w:val="Text1"/>
            <w:enabled/>
            <w:calcOnExit w:val="0"/>
            <w:textInput>
              <w:default w:val="[LANDLORD'S NAM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[LANDLORD'S NAME]</w:t>
      </w:r>
      <w:r/>
      <w:r>
        <w:rPr/>
        <w:fldChar w:fldCharType="end"/>
      </w:r>
      <w:r>
        <w:rPr/>
      </w:r>
      <w:bookmarkEnd w:id="0"/>
    </w:p>
    <w:p>
      <w:pPr>
        <w:pStyle w:val="Normal"/>
        <w:ind w:start="720"/>
        <w:rPr>
          <w:rFonts w:ascii="Arial" w:hAnsi="Arial" w:cs="Arial"/>
        </w:rPr>
      </w:pPr>
      <w:r>
        <w:rPr>
          <w:rFonts w:cs="Arial" w:ascii="Times New Roman" w:hAnsi="Times New Roman"/>
          <w:sz w:val="24"/>
        </w:rPr>
        <w:t xml:space="preserve">Mailing Address: </w:t>
      </w:r>
      <w:r>
        <w:fldChar w:fldCharType="begin">
          <w:ffData>
            <w:name w:val="Bookmark"/>
            <w:enabled/>
            <w:calcOnExit w:val="0"/>
            <w:textInput>
              <w:default w:val="[LANDLORD'S ADDRESS]"/>
            </w:textInput>
          </w:ffData>
        </w:fldChar>
      </w:r>
      <w:r>
        <w:rPr/>
        <w:instrText xml:space="preserve"> FORMTEXT </w:instrText>
      </w:r>
      <w:r>
        <w:rPr/>
      </w:r>
      <w:r>
        <w:rPr/>
        <w:fldChar w:fldCharType="separate"/>
      </w:r>
      <w:r>
        <w:rPr/>
      </w:r>
      <w:r>
        <w:rPr>
          <w:rFonts w:cs="Arial" w:ascii="Times New Roman" w:hAnsi="Times New Roman"/>
          <w:sz w:val="24"/>
        </w:rPr>
        <w:t>[LANDLORD'S ADDRESS]</w:t>
      </w:r>
      <w:r/>
      <w:r>
        <w:rPr/>
        <w:fldChar w:fldCharType="end"/>
      </w:r>
      <w:r>
        <w:rPr/>
      </w:r>
    </w:p>
    <w:p>
      <w:pPr>
        <w:pStyle w:val="Normal"/>
        <w:ind w:start="720"/>
        <w:rPr>
          <w:rFonts w:ascii="Arial" w:hAnsi="Arial" w:cs="Arial"/>
        </w:rPr>
      </w:pPr>
      <w:r>
        <w:rPr>
          <w:rFonts w:cs="Arial" w:ascii="Arial" w:hAnsi="Arial"/>
        </w:rPr>
      </w:r>
    </w:p>
    <w:p>
      <w:pPr>
        <w:pStyle w:val="Normal"/>
        <w:ind w:start="360"/>
        <w:rPr>
          <w:rFonts w:ascii="Arial" w:hAnsi="Arial" w:cs="Arial"/>
          <w:u w:val="single"/>
        </w:rPr>
      </w:pPr>
      <w:r>
        <w:rPr>
          <w:rFonts w:cs="Arial" w:ascii="Times New Roman" w:hAnsi="Times New Roman"/>
          <w:sz w:val="24"/>
          <w:u w:val="single"/>
        </w:rPr>
        <w:t>Tenant</w:t>
      </w:r>
    </w:p>
    <w:p>
      <w:pPr>
        <w:pStyle w:val="Normal"/>
        <w:ind w:start="360"/>
        <w:rPr>
          <w:rFonts w:ascii="Arial" w:hAnsi="Arial" w:cs="Arial"/>
          <w:u w:val="single"/>
        </w:rPr>
      </w:pPr>
      <w:r>
        <w:rPr>
          <w:rFonts w:cs="Arial" w:ascii="Arial" w:hAnsi="Arial"/>
          <w:u w:val="single"/>
        </w:rPr>
      </w:r>
    </w:p>
    <w:p>
      <w:pPr>
        <w:pStyle w:val="ListParagraph"/>
        <w:rPr>
          <w:rFonts w:ascii="Arial" w:hAnsi="Arial" w:cs="Arial"/>
        </w:rPr>
      </w:pPr>
      <w:r>
        <w:rPr>
          <w:rFonts w:cs="Arial" w:ascii="Times New Roman" w:hAnsi="Times New Roman"/>
          <w:sz w:val="24"/>
        </w:rPr>
        <w:t xml:space="preserve">Tenant’s Name: </w:t>
      </w:r>
      <w:r>
        <w:fldChar w:fldCharType="begin">
          <w:ffData>
            <w:name w:val="Bookmark Copy 1"/>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sz w:val="24"/>
        </w:rPr>
        <w:t>[TENANT'S NAME]</w:t>
      </w:r>
      <w:r/>
      <w:r>
        <w:rPr/>
        <w:fldChar w:fldCharType="end"/>
      </w:r>
      <w:r>
        <w:rPr/>
      </w:r>
    </w:p>
    <w:p>
      <w:pPr>
        <w:pStyle w:val="Normal"/>
        <w:ind w:start="720"/>
        <w:rPr>
          <w:rFonts w:ascii="Arial" w:hAnsi="Arial" w:cs="Arial"/>
        </w:rPr>
      </w:pPr>
      <w:r>
        <w:rPr>
          <w:rFonts w:cs="Arial" w:ascii="Times New Roman" w:hAnsi="Times New Roman"/>
          <w:sz w:val="24"/>
        </w:rPr>
        <w:t xml:space="preserve">Additional Occupants: </w:t>
      </w:r>
      <w:r>
        <w:fldChar w:fldCharType="begin">
          <w:ffData>
            <w:name w:val="Bookmark Copy 2"/>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sz w:val="24"/>
        </w:rPr>
        <w:t>[TENANT'S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numPr>
          <w:ilvl w:val="0"/>
          <w:numId w:val="3"/>
        </w:numPr>
        <w:rPr>
          <w:rFonts w:ascii="Arial" w:hAnsi="Arial" w:cs="Arial"/>
          <w:color w:val="000000"/>
        </w:rPr>
      </w:pPr>
      <w:r>
        <w:rPr>
          <w:rFonts w:cs="Arial" w:ascii="Times New Roman" w:hAnsi="Times New Roman"/>
          <w:color w:val="000000"/>
          <w:sz w:val="24"/>
          <w:u w:val="single"/>
        </w:rPr>
        <w:t>Property Address</w:t>
      </w:r>
      <w:r>
        <w:rPr>
          <w:rFonts w:cs="Arial" w:ascii="Times New Roman" w:hAnsi="Times New Roman"/>
          <w:color w:val="000000"/>
          <w:sz w:val="24"/>
        </w:rPr>
        <w:t xml:space="preserve">: </w:t>
      </w:r>
      <w:r>
        <w:fldChar w:fldCharType="begin">
          <w:ffData>
            <w:name w:val="Text2"/>
            <w:enabled/>
            <w:calcOnExit w:val="0"/>
            <w:textInput>
              <w:default w:val="[PROPERTY ADDRESS]"/>
            </w:textInput>
          </w:ffData>
        </w:fldChar>
      </w:r>
      <w:r>
        <w:rPr/>
        <w:instrText xml:space="preserve"> FORMTEXT </w:instrText>
      </w:r>
      <w:bookmarkStart w:id="1" w:name="Text2_Copy_1"/>
      <w:r>
        <w:rPr/>
      </w:r>
      <w:r>
        <w:rPr/>
        <w:fldChar w:fldCharType="separate"/>
      </w:r>
      <w:r>
        <w:rPr/>
      </w:r>
      <w:r>
        <w:rPr>
          <w:rFonts w:cs="Arial" w:ascii="Times New Roman" w:hAnsi="Times New Roman"/>
          <w:sz w:val="24"/>
        </w:rPr>
        <w:t>[PROPERTY ADDRESS]</w:t>
      </w:r>
      <w:r/>
      <w:r>
        <w:rPr/>
        <w:fldChar w:fldCharType="end"/>
      </w:r>
      <w:r>
        <w:rPr/>
      </w:r>
      <w:bookmarkEnd w:id="1"/>
    </w:p>
    <w:p>
      <w:pPr>
        <w:pStyle w:val="ListParagraph"/>
        <w:numPr>
          <w:ilvl w:val="0"/>
          <w:numId w:val="3"/>
        </w:numPr>
        <w:rPr>
          <w:rFonts w:ascii="Arial" w:hAnsi="Arial" w:cs="Arial"/>
          <w:color w:val="000000"/>
        </w:rPr>
      </w:pPr>
      <w:r>
        <w:rPr>
          <w:rFonts w:cs="Arial" w:ascii="Times New Roman" w:hAnsi="Times New Roman"/>
          <w:color w:val="000000"/>
          <w:sz w:val="24"/>
          <w:u w:val="single"/>
        </w:rPr>
        <w:t>Residence Type</w:t>
      </w:r>
      <w:r>
        <w:rPr>
          <w:rFonts w:cs="Arial" w:ascii="Times New Roman" w:hAnsi="Times New Roman"/>
          <w:color w:val="000000"/>
          <w:sz w:val="24"/>
        </w:rPr>
        <w:t xml:space="preserv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ListParagraph"/>
        <w:numPr>
          <w:ilvl w:val="0"/>
          <w:numId w:val="3"/>
        </w:numPr>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w:t>
      </w:r>
      <w:r>
        <w:fldChar w:fldCharType="begin">
          <w:ffData>
            <w:name w:val="Bookmark Copy 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TERM</w:t>
      </w:r>
      <w:r>
        <w:rPr>
          <w:rFonts w:cs="Arial" w:ascii="Times New Roman" w:hAnsi="Times New Roman"/>
          <w:sz w:val="24"/>
        </w:rPr>
        <w:t xml:space="preserve">. </w:t>
      </w:r>
    </w:p>
    <w:p>
      <w:pPr>
        <w:pStyle w:val="ListParagraph"/>
        <w:ind w:start="360"/>
        <w:rPr>
          <w:rFonts w:ascii="Arial" w:hAnsi="Arial" w:cs="Arial"/>
          <w:b/>
          <w:bCs/>
        </w:rPr>
      </w:pPr>
      <w:r>
        <w:rPr>
          <w:rFonts w:cs="Arial" w:ascii="Arial" w:hAnsi="Arial"/>
          <w:b/>
          <w:bCs/>
        </w:rPr>
      </w:r>
    </w:p>
    <w:p>
      <w:pPr>
        <w:pStyle w:val="ListParagraph"/>
        <w:numPr>
          <w:ilvl w:val="0"/>
          <w:numId w:val="12"/>
        </w:numPr>
        <w:rPr>
          <w:rFonts w:ascii="Arial" w:hAnsi="Arial" w:cs="Arial"/>
        </w:rPr>
      </w:pPr>
      <w:r>
        <w:rPr>
          <w:rFonts w:cs="Arial" w:ascii="Times New Roman" w:hAnsi="Times New Roman"/>
          <w:sz w:val="24"/>
          <w:u w:val="single"/>
        </w:rPr>
        <w:t>Start Date</w:t>
      </w:r>
      <w:r>
        <w:rPr>
          <w:rFonts w:cs="Arial" w:ascii="Times New Roman" w:hAnsi="Times New Roman"/>
          <w:sz w:val="24"/>
        </w:rPr>
        <w:t xml:space="preserve">: </w:t>
      </w:r>
      <w:r>
        <w:fldChar w:fldCharType="begin">
          <w:ffData>
            <w:name w:val="Bookmark Copy 6"/>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ListParagraph"/>
        <w:numPr>
          <w:ilvl w:val="0"/>
          <w:numId w:val="12"/>
        </w:numPr>
        <w:rPr>
          <w:rFonts w:ascii="Arial" w:hAnsi="Arial" w:cs="Arial"/>
        </w:rPr>
      </w:pPr>
      <w:r>
        <w:rPr>
          <w:rFonts w:cs="Arial" w:ascii="Times New Roman" w:hAnsi="Times New Roman"/>
          <w:sz w:val="24"/>
          <w:u w:val="single"/>
        </w:rPr>
        <w:t>End Date</w:t>
      </w:r>
      <w:r>
        <w:rPr>
          <w:rFonts w:cs="Arial" w:ascii="Times New Roman" w:hAnsi="Times New Roman"/>
          <w:sz w:val="24"/>
        </w:rPr>
        <w:t xml:space="preserve">: </w:t>
      </w:r>
      <w:r>
        <w:fldChar w:fldCharType="begin">
          <w:ffData>
            <w:name w:val="Bookmark Copy 7"/>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RENT</w:t>
      </w:r>
      <w:r>
        <w:rPr>
          <w:rFonts w:cs="Arial" w:ascii="Times New Roman" w:hAnsi="Times New Roman"/>
          <w:sz w:val="24"/>
        </w:rPr>
        <w:t>.</w:t>
      </w:r>
    </w:p>
    <w:p>
      <w:pPr>
        <w:pStyle w:val="ListParagraph"/>
        <w:numPr>
          <w:ilvl w:val="0"/>
          <w:numId w:val="4"/>
        </w:numPr>
        <w:rPr>
          <w:rFonts w:ascii="Arial" w:hAnsi="Arial" w:cs="Arial"/>
        </w:rPr>
      </w:pPr>
      <w:r>
        <w:rPr>
          <w:rFonts w:cs="Arial" w:ascii="Times New Roman" w:hAnsi="Times New Roman"/>
          <w:sz w:val="24"/>
          <w:u w:val="single"/>
        </w:rPr>
        <w:t>Monthly Rent</w:t>
      </w:r>
      <w:r>
        <w:rPr>
          <w:rFonts w:cs="Arial" w:ascii="Times New Roman" w:hAnsi="Times New Roman"/>
          <w:sz w:val="24"/>
        </w:rPr>
        <w:t>: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4"/>
        </w:numPr>
        <w:rPr>
          <w:rFonts w:ascii="Arial" w:hAnsi="Arial" w:cs="Arial"/>
        </w:rPr>
      </w:pPr>
      <w:r>
        <w:rPr>
          <w:rFonts w:cs="Arial" w:ascii="Times New Roman" w:hAnsi="Times New Roman"/>
          <w:sz w:val="24"/>
          <w:u w:val="single"/>
        </w:rPr>
        <w:t>Due Date</w:t>
      </w:r>
      <w:r>
        <w:rPr>
          <w:rFonts w:cs="Arial" w:ascii="Times New Roman" w:hAnsi="Times New Roman"/>
          <w:sz w:val="24"/>
        </w:rPr>
        <w:t xml:space="preserve">: </w:t>
      </w:r>
      <w:r>
        <w:fldChar w:fldCharType="begin">
          <w:ffData>
            <w:name w:val="Bookmark Copy 9"/>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 of each month.</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SECURITY DEPOSIT</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u w:val="single"/>
        </w:rPr>
      </w:pPr>
      <w:sdt>
        <w:sdtPr>
          <w:id w:val="-15951626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u w:val="single"/>
        </w:rPr>
      </w:pPr>
      <w:sdt>
        <w:sdtPr>
          <w:id w:val="8025879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w:t>
      </w:r>
      <w:r>
        <w:rPr>
          <w:rFonts w:cs="Arial" w:ascii="Times New Roman" w:hAnsi="Times New Roman"/>
          <w:sz w:val="24"/>
        </w:rPr>
        <w:t>.</w:t>
      </w:r>
    </w:p>
    <w:p>
      <w:pPr>
        <w:pStyle w:val="ListParagraph"/>
        <w:numPr>
          <w:ilvl w:val="0"/>
          <w:numId w:val="5"/>
        </w:numPr>
        <w:rPr>
          <w:rFonts w:ascii="Arial" w:hAnsi="Arial" w:cs="Arial"/>
          <w:b/>
          <w:bCs/>
        </w:rPr>
      </w:pPr>
      <w:r>
        <w:rPr>
          <w:rFonts w:cs="Arial" w:ascii="Times New Roman" w:hAnsi="Times New Roman"/>
          <w:sz w:val="24"/>
          <w:u w:val="single"/>
        </w:rPr>
        <w:t>Amount</w:t>
      </w:r>
      <w:r>
        <w:rPr>
          <w:rFonts w:cs="Arial" w:ascii="Times New Roman" w:hAnsi="Times New Roman"/>
          <w:sz w:val="24"/>
        </w:rPr>
        <w:t>: $</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5"/>
        </w:numPr>
        <w:rPr>
          <w:rFonts w:ascii="Arial" w:hAnsi="Arial" w:cs="Arial"/>
          <w:b/>
          <w:bCs/>
        </w:rPr>
      </w:pPr>
      <w:r>
        <w:rPr>
          <w:rFonts w:cs="Arial" w:ascii="Times New Roman" w:hAnsi="Times New Roman"/>
          <w:sz w:val="24"/>
          <w:u w:val="single"/>
        </w:rPr>
        <w:t>Returning to Tenant</w:t>
      </w:r>
      <w:r>
        <w:rPr>
          <w:rFonts w:cs="Arial" w:ascii="Times New Roman" w:hAnsi="Times New Roman"/>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after lease termination.</w:t>
      </w:r>
    </w:p>
    <w:p>
      <w:pPr>
        <w:pStyle w:val="Normal"/>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LATE FEE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NSF FEE</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ListParagraph"/>
        <w:rPr>
          <w:rFonts w:ascii="Arial" w:hAnsi="Arial" w:cs="Arial"/>
        </w:rPr>
      </w:pPr>
      <w:sdt>
        <w:sdtPr>
          <w:id w:val="17627241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NSF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388624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NSF Fee</w:t>
      </w:r>
      <w:r>
        <w:rPr>
          <w:rFonts w:cs="Arial" w:ascii="Times New Roman" w:hAnsi="Times New Roman"/>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EARLY MOVE-IN</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5904561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Early Move-in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33644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Early Move-in.</w:t>
      </w:r>
    </w:p>
    <w:p>
      <w:pPr>
        <w:pStyle w:val="ListParagraph"/>
        <w:numPr>
          <w:ilvl w:val="0"/>
          <w:numId w:val="11"/>
        </w:numPr>
        <w:rPr>
          <w:rFonts w:ascii="Arial" w:hAnsi="Arial" w:cs="Arial"/>
        </w:rPr>
      </w:pPr>
      <w:r>
        <w:rPr>
          <w:rFonts w:cs="Arial" w:ascii="Times New Roman" w:hAnsi="Times New Roman"/>
          <w:sz w:val="24"/>
          <w:u w:val="single"/>
        </w:rPr>
        <w:t>Date</w:t>
      </w:r>
      <w:r>
        <w:rPr>
          <w:rFonts w:cs="Arial" w:ascii="Times New Roman" w:hAnsi="Times New Roman"/>
          <w:sz w:val="24"/>
        </w:rPr>
        <w:t xml:space="preserve">: </w:t>
      </w:r>
      <w:r>
        <w:fldChar w:fldCharType="begin">
          <w:ffData>
            <w:name w:val="Bookmark Copy 15"/>
            <w:enabled/>
            <w:calcOnExit w:val="0"/>
            <w:textInput>
              <w:default w:val="[MOVE-IN DATE]"/>
            </w:textInput>
          </w:ffData>
        </w:fldChar>
      </w:r>
      <w:r>
        <w:rPr/>
        <w:instrText xml:space="preserve"> FORMTEXT </w:instrText>
      </w:r>
      <w:r>
        <w:rPr/>
      </w:r>
      <w:r>
        <w:rPr/>
        <w:fldChar w:fldCharType="separate"/>
      </w:r>
      <w:r>
        <w:rPr/>
      </w:r>
      <w:r>
        <w:rPr>
          <w:rFonts w:cs="Arial" w:ascii="Times New Roman" w:hAnsi="Times New Roman"/>
          <w:sz w:val="24"/>
        </w:rPr>
        <w:t>[MOVE-IN DATE]</w:t>
      </w:r>
      <w:r/>
      <w:r>
        <w:rPr/>
        <w:fldChar w:fldCharType="end"/>
      </w:r>
      <w:r>
        <w:rPr/>
      </w:r>
    </w:p>
    <w:p>
      <w:pPr>
        <w:pStyle w:val="ListParagraph"/>
        <w:numPr>
          <w:ilvl w:val="0"/>
          <w:numId w:val="11"/>
        </w:numPr>
        <w:rPr>
          <w:rFonts w:ascii="Arial" w:hAnsi="Arial" w:cs="Arial"/>
        </w:rPr>
      </w:pPr>
      <w:r>
        <w:rPr>
          <w:rFonts w:cs="Arial" w:ascii="Times New Roman" w:hAnsi="Times New Roman"/>
          <w:sz w:val="24"/>
          <w:u w:val="single"/>
        </w:rPr>
        <w:t>Prorated Rent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Normal"/>
        <w:ind w:start="2160"/>
        <w:rPr>
          <w:rFonts w:ascii="Arial" w:hAnsi="Arial" w:cs="Arial"/>
        </w:rPr>
      </w:pPr>
      <w:r>
        <w:rPr>
          <w:rFonts w:cs="Arial" w:ascii="Times New Roman" w:hAnsi="Times New Roman"/>
          <w:sz w:val="24"/>
        </w:rPr>
        <w:t xml:space="preserve">End Date: </w:t>
      </w:r>
      <w:r>
        <w:fldChar w:fldCharType="begin">
          <w:ffData>
            <w:name w:val="Bookmark Copy 1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ACCEPTABLE PAYMENT METHODS</w:t>
      </w:r>
      <w:r>
        <w:rPr>
          <w:rFonts w:cs="Arial" w:ascii="Times New Roman" w:hAnsi="Times New Roman"/>
          <w:sz w:val="24"/>
        </w:rPr>
        <w:t>. The Landlord accepts any of the following payment methods from the Tenant: (check all that apply)</w:t>
      </w:r>
    </w:p>
    <w:p>
      <w:pPr>
        <w:pStyle w:val="Normal"/>
        <w:ind w:start="720"/>
        <w:rPr>
          <w:rFonts w:ascii="Arial" w:hAnsi="Arial" w:cs="Arial"/>
        </w:rPr>
      </w:pPr>
      <w:sdt>
        <w:sdtPr>
          <w:id w:val="12631828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ACH (electronic bank transfer)</w:t>
      </w:r>
    </w:p>
    <w:p>
      <w:pPr>
        <w:pStyle w:val="Normal"/>
        <w:ind w:start="720"/>
        <w:rPr>
          <w:rFonts w:ascii="Arial" w:hAnsi="Arial" w:cs="Arial"/>
        </w:rPr>
      </w:pPr>
      <w:sdt>
        <w:sdtPr>
          <w:id w:val="1229713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Cash</w:t>
      </w:r>
    </w:p>
    <w:p>
      <w:pPr>
        <w:pStyle w:val="Normal"/>
        <w:ind w:start="720"/>
        <w:rPr>
          <w:rFonts w:ascii="Arial" w:hAnsi="Arial" w:cs="Arial"/>
        </w:rPr>
      </w:pPr>
      <w:sdt>
        <w:sdtPr>
          <w:id w:val="4912942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Check</w:t>
      </w:r>
    </w:p>
    <w:p>
      <w:pPr>
        <w:pStyle w:val="Normal"/>
        <w:ind w:start="720"/>
        <w:rPr>
          <w:rFonts w:ascii="Arial" w:hAnsi="Arial" w:cs="Arial"/>
        </w:rPr>
      </w:pPr>
      <w:sdt>
        <w:sdtPr>
          <w:id w:val="1066844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Credit Card</w:t>
      </w:r>
    </w:p>
    <w:p>
      <w:pPr>
        <w:pStyle w:val="Normal"/>
        <w:ind w:start="720"/>
        <w:rPr>
          <w:rFonts w:ascii="Arial" w:hAnsi="Arial" w:cs="Arial"/>
        </w:rPr>
      </w:pPr>
      <w:sdt>
        <w:sdtPr>
          <w:id w:val="7667390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PayPal (e-mail is: </w:t>
      </w:r>
      <w:r>
        <w:fldChar w:fldCharType="begin">
          <w:ffData>
            <w:name w:val="Bookmark Copy 20"/>
            <w:enabled/>
            <w:calcOnExit w:val="0"/>
            <w:textInput>
              <w:default w:val="[PAYPAL E-MAIL]"/>
            </w:textInput>
          </w:ffData>
        </w:fldChar>
      </w:r>
      <w:r>
        <w:rPr/>
        <w:instrText xml:space="preserve"> FORMTEXT </w:instrText>
      </w:r>
      <w:r>
        <w:rPr/>
      </w:r>
      <w:r>
        <w:rPr/>
        <w:fldChar w:fldCharType="separate"/>
      </w:r>
      <w:r>
        <w:rPr/>
      </w:r>
      <w:r>
        <w:rPr>
          <w:rFonts w:cs="Arial" w:ascii="Times New Roman" w:hAnsi="Times New Roman"/>
          <w:sz w:val="24"/>
        </w:rPr>
        <w:t>[PAYPAL E-MAIL]</w:t>
      </w:r>
      <w:r>
        <w:rPr/>
      </w:r>
      <w:r>
        <w:rPr/>
        <w:fldChar w:fldCharType="end"/>
      </w:r>
      <w:r>
        <w:rPr>
          <w:rFonts w:cs="Arial" w:ascii="Times New Roman" w:hAnsi="Times New Roman"/>
          <w:sz w:val="24"/>
        </w:rPr>
        <w:t>)</w:t>
      </w:r>
    </w:p>
    <w:p>
      <w:pPr>
        <w:pStyle w:val="Normal"/>
        <w:ind w:start="720"/>
        <w:rPr>
          <w:rFonts w:ascii="Arial" w:hAnsi="Arial" w:cs="Arial"/>
        </w:rPr>
      </w:pPr>
      <w:sdt>
        <w:sdtPr>
          <w:id w:val="10919036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Venmo (e-mail/username is: </w:t>
      </w:r>
      <w:r>
        <w:fldChar w:fldCharType="begin">
          <w:ffData>
            <w:name w:val="Bookmark Copy 21"/>
            <w:enabled/>
            <w:calcOnExit w:val="0"/>
            <w:textInput>
              <w:default w:val="[E-MAIL/USERNAME]"/>
            </w:textInput>
          </w:ffData>
        </w:fldChar>
      </w:r>
      <w:r>
        <w:rPr/>
        <w:instrText xml:space="preserve"> FORMTEXT </w:instrText>
      </w:r>
      <w:r>
        <w:rPr/>
      </w:r>
      <w:r>
        <w:rPr/>
        <w:fldChar w:fldCharType="separate"/>
      </w:r>
      <w:r>
        <w:rPr/>
      </w:r>
      <w:r>
        <w:rPr>
          <w:rFonts w:cs="Arial" w:ascii="Times New Roman" w:hAnsi="Times New Roman"/>
          <w:sz w:val="24"/>
        </w:rPr>
        <w:t>[E-MAIL/USERNAME]</w:t>
      </w:r>
      <w:r>
        <w:rPr/>
      </w:r>
      <w:r>
        <w:rPr/>
        <w:fldChar w:fldCharType="end"/>
      </w:r>
      <w:r>
        <w:rPr>
          <w:rFonts w:cs="Arial" w:ascii="Times New Roman" w:hAnsi="Times New Roman"/>
          <w:sz w:val="24"/>
        </w:rPr>
        <w:t>)</w:t>
      </w:r>
    </w:p>
    <w:p>
      <w:pPr>
        <w:pStyle w:val="Normal"/>
        <w:ind w:start="720"/>
        <w:rPr>
          <w:rFonts w:ascii="Arial" w:hAnsi="Arial" w:cs="Arial"/>
        </w:rPr>
      </w:pPr>
      <w:sdt>
        <w:sdtPr>
          <w:id w:val="-676964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Zelle (e-mail/phone number is: </w:t>
      </w:r>
      <w:r>
        <w:fldChar w:fldCharType="begin">
          <w:ffData>
            <w:name w:val="Bookmark Copy 22"/>
            <w:enabled/>
            <w:calcOnExit w:val="0"/>
            <w:textInput>
              <w:default w:val="[E-MAIL/PHONE NUMBER]"/>
            </w:textInput>
          </w:ffData>
        </w:fldChar>
      </w:r>
      <w:r>
        <w:rPr/>
        <w:instrText xml:space="preserve"> FORMTEXT </w:instrText>
      </w:r>
      <w:r>
        <w:rPr/>
      </w:r>
      <w:r>
        <w:rPr/>
        <w:fldChar w:fldCharType="separate"/>
      </w:r>
      <w:r>
        <w:rPr/>
      </w:r>
      <w:r>
        <w:rPr>
          <w:rFonts w:cs="Arial" w:ascii="Times New Roman" w:hAnsi="Times New Roman"/>
          <w:sz w:val="24"/>
        </w:rPr>
        <w:t>[E-MAIL/PHONE NUMBER]</w:t>
      </w:r>
      <w:r>
        <w:rPr/>
      </w:r>
      <w:r>
        <w:rPr/>
        <w:fldChar w:fldCharType="end"/>
      </w:r>
      <w:r>
        <w:rPr>
          <w:rFonts w:cs="Arial" w:ascii="Times New Roman" w:hAnsi="Times New Roman"/>
          <w:sz w:val="24"/>
        </w:rPr>
        <w:t>)</w:t>
      </w:r>
    </w:p>
    <w:p>
      <w:pPr>
        <w:pStyle w:val="Normal"/>
        <w:ind w:start="720"/>
        <w:rPr>
          <w:rFonts w:ascii="Arial" w:hAnsi="Arial" w:cs="Arial"/>
        </w:rPr>
      </w:pPr>
      <w:sdt>
        <w:sdtPr>
          <w:id w:val="-13509453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PET TYPES]"/>
            </w:textInput>
          </w:ffData>
        </w:fldChar>
      </w:r>
      <w:r>
        <w:rPr/>
        <w:instrText xml:space="preserve"> FORMTEXT </w:instrText>
      </w:r>
      <w:r>
        <w:rPr/>
      </w:r>
      <w:r>
        <w:rPr/>
        <w:fldChar w:fldCharType="separate"/>
      </w:r>
      <w:r>
        <w:rPr/>
      </w:r>
      <w:r>
        <w:rPr>
          <w:rFonts w:cs="Arial" w:ascii="Times New Roman" w:hAnsi="Times New Roman"/>
          <w:sz w:val="24"/>
        </w:rPr>
        <w:t>[PET TYPES]</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ListParagraph"/>
        <w:numPr>
          <w:ilvl w:val="0"/>
          <w:numId w:val="2"/>
        </w:numPr>
        <w:ind w:hanging="360" w:start="360"/>
        <w:rPr>
          <w:rFonts w:ascii="Arial" w:hAnsi="Arial" w:cs="Arial"/>
        </w:rPr>
      </w:pPr>
      <w:r>
        <w:rPr>
          <w:rFonts w:cs="Arial" w:ascii="Times New Roman" w:hAnsi="Times New Roman"/>
          <w:b/>
          <w:bCs/>
          <w:sz w:val="24"/>
        </w:rPr>
        <w:t>SMOKING POLICY</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5678492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Smoking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747535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Allowed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parking spaces are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9"/>
            <w:enabled/>
            <w:calcOnExit w:val="0"/>
            <w:textInput>
              <w:default w:val="[DESCRIBE PARKING FEE]"/>
            </w:textInput>
          </w:ffData>
        </w:fldChar>
      </w:r>
      <w:r>
        <w:rPr/>
        <w:instrText xml:space="preserve"> FORMTEXT </w:instrText>
      </w:r>
      <w:r>
        <w:rPr/>
      </w:r>
      <w:r>
        <w:rPr/>
        <w:fldChar w:fldCharType="separate"/>
      </w:r>
      <w:r>
        <w:rPr/>
      </w:r>
      <w:r>
        <w:rPr>
          <w:rFonts w:cs="Arial" w:ascii="Times New Roman" w:hAnsi="Times New Roman"/>
          <w:sz w:val="24"/>
        </w:rPr>
        <w:t>[DESCRIBE PARKING FEE]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(check all that apply)</w:t>
      </w:r>
    </w:p>
    <w:p>
      <w:pPr>
        <w:pStyle w:val="Normal"/>
        <w:ind w:start="1440"/>
        <w:rPr>
          <w:rFonts w:ascii="Arial" w:hAnsi="Arial" w:cs="Arial"/>
        </w:rPr>
      </w:pPr>
      <w:sdt>
        <w:sdtPr>
          <w:id w:val="-4854017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Bathroom(s)</w:t>
      </w:r>
    </w:p>
    <w:p>
      <w:pPr>
        <w:pStyle w:val="Normal"/>
        <w:ind w:start="1440"/>
        <w:rPr>
          <w:rFonts w:ascii="Arial" w:hAnsi="Arial" w:cs="Arial"/>
        </w:rPr>
      </w:pPr>
      <w:sdt>
        <w:sdtPr>
          <w:id w:val="3807508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Bedroom(s)</w:t>
      </w:r>
    </w:p>
    <w:p>
      <w:pPr>
        <w:pStyle w:val="Normal"/>
        <w:ind w:start="1440"/>
        <w:rPr>
          <w:rFonts w:ascii="Arial" w:hAnsi="Arial" w:cs="Arial"/>
        </w:rPr>
      </w:pPr>
      <w:sdt>
        <w:sdtPr>
          <w:id w:val="14004080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Dining Room</w:t>
      </w:r>
    </w:p>
    <w:p>
      <w:pPr>
        <w:pStyle w:val="Normal"/>
        <w:ind w:start="1440"/>
        <w:rPr>
          <w:rFonts w:ascii="Arial" w:hAnsi="Arial" w:cs="Arial"/>
        </w:rPr>
      </w:pPr>
      <w:sdt>
        <w:sdtPr>
          <w:id w:val="-783726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Kitchen</w:t>
      </w:r>
    </w:p>
    <w:p>
      <w:pPr>
        <w:pStyle w:val="Normal"/>
        <w:ind w:start="1440"/>
        <w:rPr>
          <w:rFonts w:ascii="Arial" w:hAnsi="Arial" w:cs="Arial"/>
        </w:rPr>
      </w:pPr>
      <w:sdt>
        <w:sdtPr>
          <w:id w:val="-2067171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Living Room</w:t>
      </w:r>
    </w:p>
    <w:p>
      <w:pPr>
        <w:pStyle w:val="Normal"/>
        <w:ind w:start="1440"/>
        <w:rPr>
          <w:rFonts w:ascii="Arial" w:hAnsi="Arial" w:cs="Arial"/>
        </w:rPr>
      </w:pPr>
      <w:sdt>
        <w:sdtPr>
          <w:id w:val="12926315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0"/>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sz w:val="24"/>
        </w:rPr>
        <w:t>[DESCRIBE FURNISHINGS]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13910783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Ceiling Fans</w:t>
      </w:r>
    </w:p>
    <w:p>
      <w:pPr>
        <w:pStyle w:val="Normal"/>
        <w:ind w:start="1440"/>
        <w:rPr>
          <w:rFonts w:ascii="Arial" w:hAnsi="Arial" w:cs="Arial"/>
        </w:rPr>
      </w:pPr>
      <w:sdt>
        <w:sdtPr>
          <w:id w:val="6085520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9935640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Dryer (for laundry)</w:t>
      </w:r>
    </w:p>
    <w:p>
      <w:pPr>
        <w:pStyle w:val="Normal"/>
        <w:ind w:start="1440"/>
        <w:rPr>
          <w:rFonts w:ascii="Arial" w:hAnsi="Arial" w:cs="Arial"/>
        </w:rPr>
      </w:pPr>
      <w:sdt>
        <w:sdtPr>
          <w:id w:val="-497500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Garbage Disposal</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 / 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w:t>
      </w:r>
    </w:p>
    <w:p>
      <w:pPr>
        <w:pStyle w:val="Normal"/>
        <w:ind w:start="1440"/>
        <w:rPr>
          <w:rFonts w:ascii="Arial" w:hAnsi="Arial" w:cs="Arial"/>
        </w:rPr>
      </w:pPr>
      <w:sdt>
        <w:sdtPr>
          <w:id w:val="7096072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Heater</w:t>
      </w:r>
    </w:p>
    <w:p>
      <w:pPr>
        <w:pStyle w:val="Normal"/>
        <w:ind w:start="1440"/>
        <w:rPr>
          <w:rFonts w:ascii="Arial" w:hAnsi="Arial" w:cs="Arial"/>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1"/>
            <w:enabled/>
            <w:calcOnExit w:val="0"/>
            <w:textInput>
              <w:default w:val="[DESCRIBE APPLIANCES]"/>
            </w:textInput>
          </w:ffData>
        </w:fldChar>
      </w:r>
      <w:r>
        <w:rPr/>
        <w:instrText xml:space="preserve"> FORMTEXT </w:instrText>
      </w:r>
      <w:r>
        <w:rPr/>
      </w:r>
      <w:r>
        <w:rPr/>
        <w:fldChar w:fldCharType="separate"/>
      </w:r>
      <w:r>
        <w:rPr/>
      </w:r>
      <w:r>
        <w:rPr>
          <w:rFonts w:cs="Arial" w:ascii="Times New Roman" w:hAnsi="Times New Roman"/>
          <w:sz w:val="24"/>
        </w:rPr>
        <w:t>[DESCRIBE APPLIANCES]</w:t>
      </w:r>
      <w:r/>
      <w:r>
        <w:rPr/>
        <w:fldChar w:fldCharType="end"/>
      </w:r>
      <w:r>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UTILITIES &amp; SERVICES</w:t>
      </w:r>
      <w:r>
        <w:rPr>
          <w:rFonts w:cs="Arial" w:ascii="Times New Roman" w:hAnsi="Times New Roman"/>
          <w:sz w:val="24"/>
        </w:rPr>
        <w:t>. The Landlord is responsible for: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9135926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Utilities &amp; Services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148148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Utilities &amp; Services</w:t>
      </w:r>
      <w:r>
        <w:rPr>
          <w:rFonts w:cs="Arial" w:ascii="Times New Roman" w:hAnsi="Times New Roman"/>
          <w:sz w:val="24"/>
        </w:rPr>
        <w:t>: (check all that apply)</w:t>
      </w:r>
    </w:p>
    <w:p>
      <w:pPr>
        <w:pStyle w:val="Normal"/>
        <w:ind w:start="1440"/>
        <w:rPr>
          <w:rFonts w:ascii="Arial" w:hAnsi="Arial" w:cs="Arial"/>
        </w:rPr>
      </w:pPr>
      <w:sdt>
        <w:sdtPr>
          <w:id w:val="-5155381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Cable (TV)</w:t>
      </w:r>
    </w:p>
    <w:p>
      <w:pPr>
        <w:pStyle w:val="Normal"/>
        <w:ind w:start="1440"/>
        <w:rPr>
          <w:rFonts w:ascii="Arial" w:hAnsi="Arial" w:cs="Arial"/>
        </w:rPr>
      </w:pPr>
      <w:sdt>
        <w:sdtPr>
          <w:id w:val="-9231062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Gas / Oil / Propane</w:t>
      </w:r>
    </w:p>
    <w:p>
      <w:pPr>
        <w:pStyle w:val="Normal"/>
        <w:ind w:start="1440"/>
        <w:rPr>
          <w:rFonts w:ascii="Arial" w:hAnsi="Arial" w:cs="Arial"/>
        </w:rPr>
      </w:pPr>
      <w:sdt>
        <w:sdtPr>
          <w:id w:val="16864048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Electricity</w:t>
      </w:r>
    </w:p>
    <w:p>
      <w:pPr>
        <w:pStyle w:val="Normal"/>
        <w:ind w:start="1440"/>
        <w:rPr>
          <w:rFonts w:ascii="Arial" w:hAnsi="Arial" w:cs="Arial"/>
        </w:rPr>
      </w:pPr>
      <w:sdt>
        <w:sdtPr>
          <w:id w:val="13013547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Internet</w:t>
      </w:r>
    </w:p>
    <w:p>
      <w:pPr>
        <w:pStyle w:val="Normal"/>
        <w:ind w:start="1440"/>
        <w:rPr>
          <w:rFonts w:ascii="Arial" w:hAnsi="Arial" w:cs="Arial"/>
        </w:rPr>
      </w:pPr>
      <w:sdt>
        <w:sdtPr>
          <w:id w:val="-17664470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Landscaping</w:t>
      </w:r>
    </w:p>
    <w:p>
      <w:pPr>
        <w:pStyle w:val="Normal"/>
        <w:ind w:start="1440"/>
        <w:rPr>
          <w:rFonts w:ascii="Arial" w:hAnsi="Arial" w:cs="Arial"/>
        </w:rPr>
      </w:pPr>
      <w:sdt>
        <w:sdtPr>
          <w:id w:val="1986970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 Sewer</w:t>
      </w:r>
    </w:p>
    <w:p>
      <w:pPr>
        <w:pStyle w:val="Normal"/>
        <w:ind w:start="1440"/>
        <w:rPr>
          <w:rFonts w:ascii="Arial" w:hAnsi="Arial" w:cs="Arial"/>
        </w:rPr>
      </w:pPr>
      <w:sdt>
        <w:sdtPr>
          <w:id w:val="15974442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Trash Removal</w:t>
      </w:r>
    </w:p>
    <w:p>
      <w:pPr>
        <w:pStyle w:val="Normal"/>
        <w:ind w:start="1440"/>
        <w:rPr>
          <w:rFonts w:ascii="Arial" w:hAnsi="Arial" w:cs="Arial"/>
        </w:rPr>
      </w:pPr>
      <w:sdt>
        <w:sdtPr>
          <w:id w:val="-739702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2"/>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sz w:val="24"/>
        </w:rPr>
        <w:t>[DESCRIBE UTILITIES &amp; SERVICES]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RENTERS INSURANCE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7211760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Renters Insurance Requirement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83436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Renters Insurance is Required</w:t>
      </w:r>
      <w:r>
        <w:rPr>
          <w:rFonts w:cs="Arial" w:ascii="Times New Roman" w:hAnsi="Times New Roman"/>
          <w:sz w:val="24"/>
        </w:rPr>
        <w:t>. $</w:t>
      </w:r>
      <w:r>
        <w:fldChar w:fldCharType="begin">
          <w:ffData>
            <w:name w:val="Bookmark Copy 33"/>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is the minimum limit for property damage/loss and liability coverage per occurrence.</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MOVE-IN INSPECTION</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966587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7316918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is Required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Allowed with the Landlord’s Consent.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Landlord</w:t>
      </w:r>
      <w:r>
        <w:rPr>
          <w:rFonts w:cs="Arial" w:ascii="Times New Roman" w:hAnsi="Times New Roman"/>
          <w:sz w:val="24"/>
        </w:rPr>
        <w:t>. (check one)</w:t>
      </w:r>
    </w:p>
    <w:p>
      <w:pPr>
        <w:pStyle w:val="Normal"/>
        <w:ind w:start="1440"/>
        <w:rPr>
          <w:rFonts w:ascii="Arial" w:hAnsi="Arial" w:cs="Arial"/>
        </w:rPr>
      </w:pPr>
      <w:sdt>
        <w:sdtPr>
          <w:id w:val="8887718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1723633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4"/>
            <w:enabled/>
            <w:calcOnExit w:val="0"/>
            <w:textInput>
              <w:default w:val="[LANDLORD'S NOTICE ADDRESS]"/>
            </w:textInput>
          </w:ffData>
        </w:fldChar>
      </w:r>
      <w:r>
        <w:rPr/>
        <w:instrText xml:space="preserve"> FORMTEXT </w:instrText>
      </w:r>
      <w:r>
        <w:rPr/>
      </w:r>
      <w:r>
        <w:rPr/>
        <w:fldChar w:fldCharType="separate"/>
      </w:r>
      <w:r>
        <w:rPr/>
      </w:r>
      <w:r>
        <w:rPr>
          <w:rFonts w:cs="Arial" w:ascii="Times New Roman" w:hAnsi="Times New Roman"/>
          <w:sz w:val="24"/>
        </w:rPr>
        <w:t>[LANDLORD'S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840616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rPr>
      </w:pPr>
      <w:sdt>
        <w:sdtPr>
          <w:id w:val="11883285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5"/>
            <w:enabled/>
            <w:calcOnExit w:val="0"/>
            <w:textInput>
              <w:default w:val="[TENANT'S NOTICE ADDRESS]"/>
            </w:textInput>
          </w:ffData>
        </w:fldChar>
      </w:r>
      <w:r>
        <w:rPr/>
        <w:instrText xml:space="preserve"> FORMTEXT </w:instrText>
      </w:r>
      <w:r>
        <w:rPr/>
      </w:r>
      <w:r>
        <w:rPr/>
        <w:fldChar w:fldCharType="separate"/>
      </w:r>
      <w:r>
        <w:rPr/>
      </w:r>
      <w:r>
        <w:rPr>
          <w:rFonts w:cs="Arial" w:ascii="Times New Roman" w:hAnsi="Times New Roman"/>
          <w:sz w:val="24"/>
        </w:rPr>
        <w:t>[TENANT'S NOTICE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sz w:val="24"/>
        </w:rPr>
        <w:t>[ADDITIONAL TERMS &amp; CONDITIONS]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DISCLOSURES</w:t>
      </w:r>
      <w:r>
        <w:rPr>
          <w:rFonts w:cs="Arial" w:ascii="Times New Roman" w:hAnsi="Times New Roman"/>
          <w:sz w:val="24"/>
        </w:rPr>
        <w:t>. The Landlord agrees to deliver the following to the Tenant: (check all that apply)</w:t>
      </w:r>
    </w:p>
    <w:p>
      <w:pPr>
        <w:pStyle w:val="Normal"/>
        <w:ind w:start="720"/>
        <w:rPr>
          <w:rFonts w:ascii="Arial" w:hAnsi="Arial" w:cs="Arial"/>
        </w:rPr>
      </w:pPr>
      <w:sdt>
        <w:sdtPr>
          <w:id w:val="-7412515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Lead-Based Paint Disclosure</w:t>
      </w:r>
    </w:p>
    <w:p>
      <w:pPr>
        <w:pStyle w:val="Normal"/>
        <w:ind w:start="720"/>
        <w:rPr>
          <w:rFonts w:ascii="Arial" w:hAnsi="Arial" w:cs="Arial"/>
        </w:rPr>
      </w:pPr>
      <w:sdt>
        <w:sdtPr>
          <w:id w:val="13612507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Protect Your Family From Lead in Your Home - Pamphlet</w:t>
      </w:r>
    </w:p>
    <w:p>
      <w:pPr>
        <w:pStyle w:val="Normal"/>
        <w:ind w:start="720"/>
        <w:rPr>
          <w:rFonts w:ascii="Arial" w:hAnsi="Arial" w:cs="Arial"/>
        </w:rPr>
      </w:pPr>
      <w:sdt>
        <w:sdtPr>
          <w:id w:val="56835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Move-In Inspection Checklist</w:t>
      </w:r>
    </w:p>
    <w:p>
      <w:pPr>
        <w:pStyle w:val="Normal"/>
        <w:ind w:start="720"/>
        <w:rPr>
          <w:rFonts w:ascii="Arial" w:hAnsi="Arial" w:cs="Arial"/>
        </w:rPr>
      </w:pPr>
      <w:sdt>
        <w:sdtPr>
          <w:id w:val="-19476156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7"/>
            <w:enabled/>
            <w:calcOnExit w:val="0"/>
            <w:textInput>
              <w:default w:val="[ADDITIONAL DISCLOSURE #1]"/>
            </w:textInput>
          </w:ffData>
        </w:fldChar>
      </w:r>
      <w:r>
        <w:rPr/>
        <w:instrText xml:space="preserve"> FORMTEXT </w:instrText>
      </w:r>
      <w:r>
        <w:rPr/>
      </w:r>
      <w:r>
        <w:rPr/>
        <w:fldChar w:fldCharType="separate"/>
      </w:r>
      <w:r>
        <w:rPr/>
      </w:r>
      <w:r>
        <w:rPr>
          <w:rFonts w:cs="Arial" w:ascii="Times New Roman" w:hAnsi="Times New Roman"/>
          <w:sz w:val="24"/>
        </w:rPr>
        <w:t>[ADDITIONAL DISCLOSURE #1]</w:t>
      </w:r>
      <w:r/>
      <w:r>
        <w:rPr/>
        <w:fldChar w:fldCharType="end"/>
      </w:r>
      <w:r>
        <w:rPr/>
      </w:r>
    </w:p>
    <w:p>
      <w:pPr>
        <w:pStyle w:val="Normal"/>
        <w:ind w:start="720"/>
        <w:rPr>
          <w:rFonts w:ascii="Arial" w:hAnsi="Arial" w:cs="Arial"/>
        </w:rPr>
      </w:pPr>
      <w:sdt>
        <w:sdtPr>
          <w:id w:val="-3936563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8"/>
            <w:enabled/>
            <w:calcOnExit w:val="0"/>
            <w:textInput>
              <w:default w:val="[ADDITIONAL DISCLOSURE #2]"/>
            </w:textInput>
          </w:ffData>
        </w:fldChar>
      </w:r>
      <w:r>
        <w:rPr/>
        <w:instrText xml:space="preserve"> FORMTEXT </w:instrText>
      </w:r>
      <w:r>
        <w:rPr/>
      </w:r>
      <w:r>
        <w:rPr/>
        <w:fldChar w:fldCharType="separate"/>
      </w:r>
      <w:r>
        <w:rPr/>
      </w:r>
      <w:r>
        <w:rPr>
          <w:rFonts w:cs="Arial" w:ascii="Times New Roman" w:hAnsi="Times New Roman"/>
          <w:sz w:val="24"/>
        </w:rPr>
        <w:t>[ADDITIONAL DISCLOSURE #2]</w:t>
      </w:r>
      <w:r/>
      <w:r>
        <w:rPr/>
        <w:fldChar w:fldCharType="end"/>
      </w:r>
      <w:r>
        <w:rPr/>
      </w:r>
    </w:p>
    <w:p>
      <w:pPr>
        <w:pStyle w:val="Normal"/>
        <w:ind w:start="720"/>
        <w:rPr>
          <w:rFonts w:ascii="Arial" w:hAnsi="Arial" w:cs="Arial"/>
        </w:rPr>
      </w:pPr>
      <w:sdt>
        <w:sdtPr>
          <w:id w:val="8255548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9"/>
            <w:enabled/>
            <w:calcOnExit w:val="0"/>
            <w:textInput>
              <w:default w:val="[ADDITIONAL DISCLOSURE #3]"/>
            </w:textInput>
          </w:ffData>
        </w:fldChar>
      </w:r>
      <w:r>
        <w:rPr/>
        <w:instrText xml:space="preserve"> FORMTEXT </w:instrText>
      </w:r>
      <w:r>
        <w:rPr/>
      </w:r>
      <w:r>
        <w:rPr/>
        <w:fldChar w:fldCharType="separate"/>
      </w:r>
      <w:r>
        <w:rPr/>
      </w:r>
      <w:r>
        <w:rPr>
          <w:rFonts w:cs="Arial" w:ascii="Times New Roman" w:hAnsi="Times New Roman"/>
          <w:sz w:val="24"/>
        </w:rPr>
        <w:t>[ADDITIONAL DISCLOSURE #3]</w:t>
      </w:r>
      <w:r/>
      <w:r>
        <w:rPr/>
        <w:fldChar w:fldCharType="end"/>
      </w:r>
      <w:r>
        <w:rPr/>
      </w:r>
    </w:p>
    <w:p>
      <w:pPr>
        <w:pStyle w:val="Normal"/>
        <w:ind w:start="720"/>
        <w:rPr>
          <w:rFonts w:ascii="Arial" w:hAnsi="Arial" w:cs="Arial"/>
        </w:rPr>
      </w:pPr>
      <w:sdt>
        <w:sdtPr>
          <w:id w:val="-20341023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0"/>
            <w:enabled/>
            <w:calcOnExit w:val="0"/>
            <w:textInput>
              <w:default w:val="[ADDITIONAL DISCLOSURE #4]"/>
            </w:textInput>
          </w:ffData>
        </w:fldChar>
      </w:r>
      <w:r>
        <w:rPr/>
        <w:instrText xml:space="preserve"> FORMTEXT </w:instrText>
      </w:r>
      <w:r>
        <w:rPr/>
      </w:r>
      <w:r>
        <w:rPr/>
        <w:fldChar w:fldCharType="separate"/>
      </w:r>
      <w:r>
        <w:rPr/>
      </w:r>
      <w:r>
        <w:rPr>
          <w:rFonts w:cs="Arial" w:ascii="Times New Roman" w:hAnsi="Times New Roman"/>
          <w:sz w:val="24"/>
        </w:rPr>
        <w:t>[ADDITIONAL DISCLOSURE #4]</w:t>
      </w:r>
      <w:r/>
      <w:r>
        <w:rPr/>
        <w:fldChar w:fldCharType="end"/>
      </w:r>
      <w:r>
        <w:rPr/>
      </w:r>
    </w:p>
    <w:p>
      <w:pPr>
        <w:pStyle w:val="Normal"/>
        <w:ind w:start="72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DEFINITIONS</w:t>
      </w:r>
      <w:r>
        <w:rPr>
          <w:rFonts w:cs="Arial" w:ascii="Times New Roman" w:hAnsi="Times New Roman"/>
          <w:sz w:val="24"/>
        </w:rPr>
        <w:t>. The terms mentioned in this Agreement are defined below:</w:t>
      </w:r>
    </w:p>
    <w:p>
      <w:pPr>
        <w:pStyle w:val="ListParagraph"/>
        <w:numPr>
          <w:ilvl w:val="0"/>
          <w:numId w:val="6"/>
        </w:numPr>
        <w:rPr>
          <w:rFonts w:ascii="Arial" w:hAnsi="Arial" w:cs="Arial"/>
        </w:rPr>
      </w:pPr>
      <w:r>
        <w:rPr>
          <w:rFonts w:cs="Arial" w:ascii="Times New Roman" w:hAnsi="Times New Roman"/>
          <w:sz w:val="24"/>
          <w:u w:val="single"/>
        </w:rPr>
        <w:t>Abandonment</w:t>
      </w:r>
      <w:r>
        <w:rPr>
          <w:rFonts w:cs="Arial" w:ascii="Times New Roman" w:hAnsi="Times New Roman"/>
          <w:sz w:val="24"/>
        </w:rPr>
        <w:t>. If the Tenant vacates or abandons the Property for a period of up to seven days without informing the Landlord, the Tenant will be considered in default of this Agreement. If the Landlord believes the Tenant has vacated and abandoned the Property, the Landlord is entitled to inspect the Property by providing 24 hours’ notice or the timeframe required under Governing Law, whichever is greater.</w:t>
      </w:r>
    </w:p>
    <w:p>
      <w:pPr>
        <w:pStyle w:val="ListParagraph"/>
        <w:numPr>
          <w:ilvl w:val="0"/>
          <w:numId w:val="6"/>
        </w:numPr>
        <w:rPr>
          <w:rFonts w:ascii="Arial" w:hAnsi="Arial" w:cs="Arial"/>
        </w:rPr>
      </w:pPr>
      <w:r>
        <w:rPr>
          <w:rFonts w:cs="Arial" w:ascii="Times New Roman" w:hAnsi="Times New Roman"/>
          <w:sz w:val="24"/>
          <w:u w:val="single"/>
        </w:rPr>
        <w:t>Access</w:t>
      </w:r>
      <w:r>
        <w:rPr>
          <w:rFonts w:cs="Arial" w:ascii="Times New Roman" w:hAnsi="Times New Roman"/>
          <w:sz w:val="24"/>
        </w:rPr>
        <w:t>. Upon the start of the Early Move-In or the Term, whichever is applicable, the Landlord agrees to provide entry to the Tenant in the form of keys, fobs, cards, or any type of keyless access to the Property. Access to the Property shall be given after successful payment and receipt of the amounts required at the execution of this Agreement (see attached ‘Amount Due at Signing’).</w:t>
      </w:r>
    </w:p>
    <w:p>
      <w:pPr>
        <w:pStyle w:val="ListParagraph"/>
        <w:numPr>
          <w:ilvl w:val="0"/>
          <w:numId w:val="6"/>
        </w:numPr>
        <w:rPr>
          <w:rFonts w:ascii="Arial" w:hAnsi="Arial" w:cs="Arial"/>
        </w:rPr>
      </w:pPr>
      <w:r>
        <w:rPr>
          <w:rFonts w:cs="Arial" w:ascii="Times New Roman" w:hAnsi="Times New Roman"/>
          <w:sz w:val="24"/>
          <w:u w:val="single"/>
        </w:rPr>
        <w:t>Additional Occupants</w:t>
      </w:r>
      <w:r>
        <w:rPr>
          <w:rFonts w:cs="Arial" w:ascii="Times New Roman" w:hAnsi="Times New Roman"/>
          <w:sz w:val="24"/>
        </w:rPr>
        <w:t>. Also referred to simply as “Occupants,” these are individuals who have a legal right to reside on the Property with the Tenant. The Tenant agrees to bear all responsibility and liability for the actions made by the Occupants.</w:t>
      </w:r>
    </w:p>
    <w:p>
      <w:pPr>
        <w:pStyle w:val="ListParagraph"/>
        <w:numPr>
          <w:ilvl w:val="0"/>
          <w:numId w:val="6"/>
        </w:numPr>
        <w:rPr>
          <w:rFonts w:ascii="Arial" w:hAnsi="Arial" w:cs="Arial"/>
        </w:rPr>
      </w:pPr>
      <w:r>
        <w:rPr>
          <w:rFonts w:cs="Arial" w:ascii="Times New Roman" w:hAnsi="Times New Roman"/>
          <w:sz w:val="24"/>
          <w:u w:val="single"/>
        </w:rPr>
        <w:t>Disclosures</w:t>
      </w:r>
      <w:r>
        <w:rPr>
          <w:rFonts w:cs="Arial" w:ascii="Times New Roman" w:hAnsi="Times New Roman"/>
          <w:sz w:val="24"/>
        </w:rPr>
        <w:t>. The Disclosures mentioned under Section 22, whether they are attached to this Agreement or distributed to the Tenant separately, are accepted, acknowledged, and understood by the Tenant upon their execution of this Agreement.</w:t>
      </w:r>
    </w:p>
    <w:p>
      <w:pPr>
        <w:pStyle w:val="ListParagraph"/>
        <w:numPr>
          <w:ilvl w:val="0"/>
          <w:numId w:val="6"/>
        </w:numPr>
        <w:rPr>
          <w:rFonts w:ascii="Arial" w:hAnsi="Arial" w:cs="Arial"/>
        </w:rPr>
      </w:pPr>
      <w:r>
        <w:rPr>
          <w:rFonts w:cs="Arial" w:ascii="Times New Roman" w:hAnsi="Times New Roman"/>
          <w:sz w:val="24"/>
          <w:u w:val="single"/>
        </w:rPr>
        <w:t>Early Move-In</w:t>
      </w:r>
      <w:r>
        <w:rPr>
          <w:rFonts w:cs="Arial" w:ascii="Times New Roman" w:hAnsi="Times New Roman"/>
          <w:sz w:val="24"/>
        </w:rPr>
        <w:t>. If the Tenant is permitted an Early Move-In, and any pro-rated rent is required to be paid, such payment must be made by the Tenant at the execution of this Agreement. If applicable and selected in Section 8, this Early Move-In period shall be protected under the same rights as the Term of this Agreement.</w:t>
      </w:r>
    </w:p>
    <w:p>
      <w:pPr>
        <w:pStyle w:val="ListParagraph"/>
        <w:numPr>
          <w:ilvl w:val="0"/>
          <w:numId w:val="6"/>
        </w:numPr>
        <w:rPr>
          <w:rFonts w:ascii="Arial" w:hAnsi="Arial" w:cs="Arial"/>
        </w:rPr>
      </w:pPr>
      <w:r>
        <w:rPr>
          <w:rFonts w:cs="Arial" w:ascii="Times New Roman" w:hAnsi="Times New Roman"/>
          <w:sz w:val="24"/>
          <w:u w:val="single"/>
        </w:rPr>
        <w:t>Furnishings and Appliances</w:t>
      </w:r>
      <w:r>
        <w:rPr>
          <w:rFonts w:cs="Arial" w:ascii="Times New Roman" w:hAnsi="Times New Roman"/>
          <w:sz w:val="24"/>
        </w:rPr>
        <w:t>. The Tenant understands that the Furnishings and Appliances mentioned herein are under the Landlord’s ownership and must be returned in the same condition as at the start of the Term, normal wear and tear excepted.</w:t>
      </w:r>
    </w:p>
    <w:p>
      <w:pPr>
        <w:pStyle w:val="ListParagraph"/>
        <w:numPr>
          <w:ilvl w:val="0"/>
          <w:numId w:val="6"/>
        </w:numPr>
        <w:rPr>
          <w:rFonts w:ascii="Arial" w:hAnsi="Arial" w:cs="Arial"/>
        </w:rPr>
      </w:pPr>
      <w:r>
        <w:rPr>
          <w:rFonts w:cs="Arial" w:ascii="Times New Roman" w:hAnsi="Times New Roman"/>
          <w:sz w:val="24"/>
          <w:u w:val="single"/>
        </w:rPr>
        <w:t>Governing Law</w:t>
      </w:r>
      <w:r>
        <w:rPr>
          <w:rFonts w:cs="Arial" w:ascii="Times New Roman" w:hAnsi="Times New Roman"/>
          <w:sz w:val="24"/>
        </w:rPr>
        <w:t>. This Agreement shall be governed by and construed in accordance with the laws of the jurisdiction where the Property is located.</w:t>
      </w:r>
    </w:p>
    <w:p>
      <w:pPr>
        <w:pStyle w:val="ListParagraph"/>
        <w:numPr>
          <w:ilvl w:val="0"/>
          <w:numId w:val="6"/>
        </w:numPr>
        <w:rPr>
          <w:rFonts w:ascii="Arial" w:hAnsi="Arial" w:cs="Arial"/>
        </w:rPr>
      </w:pPr>
      <w:r>
        <w:rPr>
          <w:rFonts w:cs="Arial" w:ascii="Times New Roman" w:hAnsi="Times New Roman"/>
          <w:sz w:val="24"/>
          <w:u w:val="single"/>
        </w:rPr>
        <w:t>Guests</w:t>
      </w:r>
      <w:r>
        <w:rPr>
          <w:rFonts w:cs="Arial" w:ascii="Times New Roman" w:hAnsi="Times New Roman"/>
          <w:sz w:val="24"/>
        </w:rPr>
        <w:t>. Refers to individuals who are not a Tenant or an Occupant but are invited onto the Property on behalf of the Tenant. Guests are permitted to stay on the Property for a period of no more than 48 hours.</w:t>
      </w:r>
    </w:p>
    <w:p>
      <w:pPr>
        <w:pStyle w:val="ListParagraph"/>
        <w:numPr>
          <w:ilvl w:val="0"/>
          <w:numId w:val="6"/>
        </w:numPr>
        <w:rPr>
          <w:rFonts w:ascii="Arial" w:hAnsi="Arial" w:cs="Arial"/>
        </w:rPr>
      </w:pPr>
      <w:r>
        <w:rPr>
          <w:rFonts w:cs="Arial" w:ascii="Times New Roman" w:hAnsi="Times New Roman"/>
          <w:sz w:val="24"/>
          <w:u w:val="single"/>
        </w:rPr>
        <w:t>Late Fee</w:t>
      </w:r>
      <w:r>
        <w:rPr>
          <w:rFonts w:cs="Arial" w:ascii="Times New Roman" w:hAnsi="Times New Roman"/>
          <w:sz w:val="24"/>
        </w:rPr>
        <w:t>. Refers to a penalty accrued by the Tenant in connection to any Rent payment due to the Landlord. The Late Fee shall accumulate in accordance with the terms mentioned herein and Governing Law, abiding by any statutory grace periods that may exist.</w:t>
      </w:r>
    </w:p>
    <w:p>
      <w:pPr>
        <w:pStyle w:val="ListParagraph"/>
        <w:numPr>
          <w:ilvl w:val="0"/>
          <w:numId w:val="6"/>
        </w:numPr>
        <w:rPr>
          <w:rFonts w:ascii="Arial" w:hAnsi="Arial" w:cs="Arial"/>
        </w:rPr>
      </w:pPr>
      <w:r>
        <w:rPr>
          <w:rFonts w:cs="Arial" w:ascii="Times New Roman" w:hAnsi="Times New Roman"/>
          <w:sz w:val="24"/>
          <w:u w:val="single"/>
        </w:rPr>
        <w:t>Move-In Inspection</w:t>
      </w:r>
      <w:r>
        <w:rPr>
          <w:rFonts w:cs="Arial" w:ascii="Times New Roman" w:hAnsi="Times New Roman"/>
          <w:sz w:val="24"/>
        </w:rPr>
        <w:t>. A Move-In Inspection, if required under this Agreement or Governing Law, shall be to protect the liability of the Tenant and the Security Deposit. Both Parties must acknowledge the Property's condition at the start and the end of the Term.</w:t>
      </w:r>
    </w:p>
    <w:p>
      <w:pPr>
        <w:pStyle w:val="ListParagraph"/>
        <w:numPr>
          <w:ilvl w:val="0"/>
          <w:numId w:val="6"/>
        </w:numPr>
        <w:rPr>
          <w:rFonts w:ascii="Arial" w:hAnsi="Arial" w:cs="Arial"/>
        </w:rPr>
      </w:pPr>
      <w:r>
        <w:rPr>
          <w:rFonts w:cs="Arial" w:ascii="Times New Roman" w:hAnsi="Times New Roman"/>
          <w:sz w:val="24"/>
          <w:u w:val="single"/>
        </w:rPr>
        <w:t>Notices</w:t>
      </w:r>
      <w:r>
        <w:rPr>
          <w:rFonts w:cs="Arial" w:ascii="Times New Roman" w:hAnsi="Times New Roman"/>
          <w:sz w:val="24"/>
        </w:rPr>
        <w:t>. The official address used for legal communication between the Landlord and Tenant as mentioned in Section 20.</w:t>
      </w:r>
    </w:p>
    <w:p>
      <w:pPr>
        <w:pStyle w:val="ListParagraph"/>
        <w:numPr>
          <w:ilvl w:val="0"/>
          <w:numId w:val="6"/>
        </w:numPr>
        <w:rPr>
          <w:rFonts w:ascii="Arial" w:hAnsi="Arial" w:cs="Arial"/>
        </w:rPr>
      </w:pPr>
      <w:r>
        <w:rPr>
          <w:rFonts w:cs="Arial" w:ascii="Times New Roman" w:hAnsi="Times New Roman"/>
          <w:sz w:val="24"/>
          <w:u w:val="single"/>
        </w:rPr>
        <w:t>NSF Fee</w:t>
      </w:r>
      <w:r>
        <w:rPr>
          <w:rFonts w:cs="Arial" w:ascii="Times New Roman" w:hAnsi="Times New Roman"/>
          <w:sz w:val="24"/>
        </w:rPr>
        <w:t>. If a Non-Sufficient Funds (NSF) Fee is mentioned herein, and if it is greater than the amount permitted under Governing Law, the amount under Governing Law shall take precedent. If a Non-Sufficient Funds (NSF) Fee is charged to the Tenant, it shall be due and payable immediately.</w:t>
      </w:r>
    </w:p>
    <w:p>
      <w:pPr>
        <w:pStyle w:val="ListParagraph"/>
        <w:numPr>
          <w:ilvl w:val="0"/>
          <w:numId w:val="6"/>
        </w:numPr>
        <w:rPr>
          <w:rFonts w:ascii="Arial" w:hAnsi="Arial" w:cs="Arial"/>
        </w:rPr>
      </w:pPr>
      <w:r>
        <w:rPr>
          <w:rFonts w:cs="Arial" w:ascii="Times New Roman" w:hAnsi="Times New Roman"/>
          <w:sz w:val="24"/>
          <w:u w:val="single"/>
        </w:rPr>
        <w:t>Parking</w:t>
      </w:r>
      <w:r>
        <w:rPr>
          <w:rFonts w:cs="Arial" w:ascii="Times New Roman" w:hAnsi="Times New Roman"/>
          <w:sz w:val="24"/>
        </w:rPr>
        <w:t>. Any Parking provided by the Landlord shall be at the Tenant’s discretion. The Landlord is not responsible for any damage, property loss, or liability that may occur to the Tenant’s vehicle while parked in the described area.</w:t>
      </w:r>
    </w:p>
    <w:p>
      <w:pPr>
        <w:pStyle w:val="ListParagraph"/>
        <w:numPr>
          <w:ilvl w:val="0"/>
          <w:numId w:val="6"/>
        </w:numPr>
        <w:rPr>
          <w:rFonts w:ascii="Arial" w:hAnsi="Arial" w:cs="Arial"/>
        </w:rPr>
      </w:pPr>
      <w:r>
        <w:rPr>
          <w:rFonts w:cs="Arial" w:ascii="Times New Roman" w:hAnsi="Times New Roman"/>
          <w:sz w:val="24"/>
          <w:u w:val="single"/>
        </w:rPr>
        <w:t>Pets</w:t>
      </w:r>
      <w:r>
        <w:rPr>
          <w:rFonts w:cs="Arial" w:ascii="Times New Roman" w:hAnsi="Times New Roman"/>
          <w:sz w:val="24"/>
        </w:rPr>
        <w:t>. If any property repairs, odor removal, or other maintenance is required due to the Tenant’s Pets, the costs shall be deducted from the Pet Fee or Security Deposit with an itemized list disclosed to the Tenant.</w:t>
      </w:r>
    </w:p>
    <w:p>
      <w:pPr>
        <w:pStyle w:val="ListParagraph"/>
        <w:numPr>
          <w:ilvl w:val="1"/>
          <w:numId w:val="6"/>
        </w:numPr>
        <w:rPr>
          <w:rFonts w:ascii="Arial" w:hAnsi="Arial" w:cs="Arial"/>
        </w:rPr>
      </w:pPr>
      <w:r>
        <w:rPr>
          <w:rFonts w:cs="Arial" w:ascii="Times New Roman" w:hAnsi="Times New Roman"/>
          <w:sz w:val="24"/>
          <w:u w:val="single"/>
        </w:rPr>
        <w:t>Pet Restrictions</w:t>
      </w:r>
      <w:r>
        <w:rPr>
          <w:rFonts w:cs="Arial" w:ascii="Times New Roman" w:hAnsi="Times New Roman"/>
          <w:sz w:val="24"/>
        </w:rPr>
        <w:t>. Any pet restriction mentioned in this Agreement shall be limited to Federal and State regulations regarding Tenants with special protections and privileges.</w:t>
      </w:r>
    </w:p>
    <w:p>
      <w:pPr>
        <w:pStyle w:val="ListParagraph"/>
        <w:numPr>
          <w:ilvl w:val="1"/>
          <w:numId w:val="6"/>
        </w:numPr>
        <w:rPr>
          <w:rFonts w:ascii="Arial" w:hAnsi="Arial" w:cs="Arial"/>
        </w:rPr>
      </w:pPr>
      <w:r>
        <w:rPr>
          <w:rFonts w:cs="Arial" w:ascii="Times New Roman" w:hAnsi="Times New Roman"/>
          <w:sz w:val="24"/>
          <w:u w:val="single"/>
        </w:rPr>
        <w:t>Protected Animals</w:t>
      </w:r>
      <w:r>
        <w:rPr>
          <w:rFonts w:cs="Arial" w:ascii="Times New Roman" w:hAnsi="Times New Roman"/>
          <w:sz w:val="24"/>
        </w:rPr>
        <w:t>. Notwithstanding any other provisions of this Agreement, the Tenant may keep a pet that qualifies as a service animal under the Americans with Disabilities Act (ADA) or an emotional support animal under applicable State and Federal laws. Tenants must provide documentation verifying the animal’s status as a service animal or emotional support animal upon request.</w:t>
      </w:r>
    </w:p>
    <w:p>
      <w:pPr>
        <w:pStyle w:val="ListParagraph"/>
        <w:numPr>
          <w:ilvl w:val="1"/>
          <w:numId w:val="6"/>
        </w:numPr>
        <w:rPr>
          <w:rFonts w:ascii="Arial" w:hAnsi="Arial" w:cs="Arial"/>
        </w:rPr>
      </w:pPr>
      <w:r>
        <w:rPr>
          <w:rFonts w:cs="Arial" w:ascii="Times New Roman" w:hAnsi="Times New Roman"/>
          <w:sz w:val="24"/>
          <w:u w:val="single"/>
        </w:rPr>
        <w:t>Procedure for Approval</w:t>
      </w:r>
      <w:r>
        <w:rPr>
          <w:rFonts w:cs="Arial" w:ascii="Times New Roman" w:hAnsi="Times New Roman"/>
          <w:sz w:val="24"/>
        </w:rPr>
        <w:t>. A Tenant seeking to keep a service animal or emotional support animal must notify the Landlord in writing and provide the necessary documentation. The Landlord shall not unreasonably withhold consent for a service animal or emotional support animal based on legitimate documentation.</w:t>
      </w:r>
    </w:p>
    <w:p>
      <w:pPr>
        <w:pStyle w:val="ListParagraph"/>
        <w:numPr>
          <w:ilvl w:val="1"/>
          <w:numId w:val="6"/>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harmless the Landlord from any claims, damages, liabilities, or expenses arising out of the actions of any Pet allowed on the Property by the Tenant.</w:t>
      </w:r>
    </w:p>
    <w:p>
      <w:pPr>
        <w:pStyle w:val="ListParagraph"/>
        <w:numPr>
          <w:ilvl w:val="0"/>
          <w:numId w:val="6"/>
        </w:numPr>
        <w:rPr>
          <w:rFonts w:ascii="Arial" w:hAnsi="Arial" w:cs="Arial"/>
        </w:rPr>
      </w:pPr>
      <w:r>
        <w:rPr>
          <w:rFonts w:cs="Arial" w:ascii="Times New Roman" w:hAnsi="Times New Roman"/>
          <w:sz w:val="24"/>
          <w:u w:val="single"/>
        </w:rPr>
        <w:t>Pre-Payment of Rent</w:t>
      </w:r>
      <w:r>
        <w:rPr>
          <w:rFonts w:cs="Arial" w:ascii="Times New Roman" w:hAnsi="Times New Roman"/>
          <w:sz w:val="24"/>
        </w:rPr>
        <w:t>. If applicable, the Pre-Payment of Rent is applied to the dates mentioned herein. The Pre-Payment Period cannot be applied to any other timeframe and is non-refundable. Therefore, if the Tenant defaults on the terms of this Agreement and this Agreement is terminated by the Landlord, they shall not be entitled to a refund of the Pre-Payment of Rent.</w:t>
      </w:r>
    </w:p>
    <w:p>
      <w:pPr>
        <w:pStyle w:val="ListParagraph"/>
        <w:numPr>
          <w:ilvl w:val="0"/>
          <w:numId w:val="6"/>
        </w:numPr>
        <w:rPr>
          <w:rFonts w:ascii="Arial" w:hAnsi="Arial" w:cs="Arial"/>
        </w:rPr>
      </w:pPr>
      <w:r>
        <w:rPr>
          <w:rFonts w:cs="Arial" w:ascii="Times New Roman" w:hAnsi="Times New Roman"/>
          <w:sz w:val="24"/>
          <w:u w:val="single"/>
        </w:rPr>
        <w:t>Party or Parties</w:t>
      </w:r>
      <w:r>
        <w:rPr>
          <w:rFonts w:cs="Arial" w:ascii="Times New Roman" w:hAnsi="Times New Roman"/>
          <w:sz w:val="24"/>
        </w:rPr>
        <w:t>. The Landlord and Tenant are each referred to herein as a “Party” and, collectively, as the “Parties.”</w:t>
      </w:r>
    </w:p>
    <w:p>
      <w:pPr>
        <w:pStyle w:val="ListParagraph"/>
        <w:numPr>
          <w:ilvl w:val="0"/>
          <w:numId w:val="6"/>
        </w:numPr>
        <w:rPr>
          <w:rFonts w:ascii="Arial" w:hAnsi="Arial" w:cs="Arial"/>
        </w:rPr>
      </w:pPr>
      <w:r>
        <w:rPr>
          <w:rFonts w:cs="Arial" w:ascii="Times New Roman" w:hAnsi="Times New Roman"/>
          <w:sz w:val="24"/>
          <w:u w:val="single"/>
        </w:rPr>
        <w:t>Property</w:t>
      </w:r>
      <w:r>
        <w:rPr>
          <w:rFonts w:cs="Arial" w:ascii="Times New Roman" w:hAnsi="Times New Roman"/>
          <w:sz w:val="24"/>
        </w:rPr>
        <w:t>. The Property is the residential space permitted to be occupied by the Tenant and Occupants as outlined in Section 2.</w:t>
      </w:r>
    </w:p>
    <w:p>
      <w:pPr>
        <w:pStyle w:val="ListParagraph"/>
        <w:numPr>
          <w:ilvl w:val="0"/>
          <w:numId w:val="6"/>
        </w:numPr>
        <w:rPr>
          <w:rFonts w:ascii="Arial" w:hAnsi="Arial" w:cs="Arial"/>
        </w:rPr>
      </w:pPr>
      <w:r>
        <w:rPr>
          <w:rFonts w:cs="Arial" w:ascii="Times New Roman" w:hAnsi="Times New Roman"/>
          <w:sz w:val="24"/>
          <w:u w:val="single"/>
        </w:rPr>
        <w:t>Rent</w:t>
      </w:r>
      <w:r>
        <w:rPr>
          <w:rFonts w:cs="Arial" w:ascii="Times New Roman" w:hAnsi="Times New Roman"/>
          <w:sz w:val="24"/>
        </w:rPr>
        <w:t>. The first payment of Rent shall be due and payable at the execution of this Agreement. All subsequent Rent payments shall be paid on the due date in accordance with the payment instructions set forth under Section 4.</w:t>
      </w:r>
    </w:p>
    <w:p>
      <w:pPr>
        <w:pStyle w:val="ListParagraph"/>
        <w:numPr>
          <w:ilvl w:val="0"/>
          <w:numId w:val="6"/>
        </w:numPr>
        <w:rPr>
          <w:rFonts w:ascii="Arial" w:hAnsi="Arial" w:cs="Arial"/>
        </w:rPr>
      </w:pPr>
      <w:r>
        <w:rPr>
          <w:rFonts w:cs="Arial" w:ascii="Times New Roman" w:hAnsi="Times New Roman"/>
          <w:sz w:val="24"/>
          <w:u w:val="single"/>
        </w:rPr>
        <w:t>Renters Insurance</w:t>
      </w:r>
      <w:r>
        <w:rPr>
          <w:rFonts w:cs="Arial" w:ascii="Times New Roman" w:hAnsi="Times New Roman"/>
          <w:sz w:val="24"/>
        </w:rPr>
        <w:t xml:space="preserve">. It is strongly recommended that the Tenant secures a Renters Insurance policy to cover personal property, which also includes personal liability for their actions. Unless there is a prohibition imposed by the affordability covenants or other restrictions applicable under Governing Law, if Renters Insurance is required it must be issued by an insurance company that provides the amount mentioned in Section 17. </w:t>
      </w:r>
    </w:p>
    <w:p>
      <w:pPr>
        <w:pStyle w:val="ListParagraph"/>
        <w:numPr>
          <w:ilvl w:val="1"/>
          <w:numId w:val="6"/>
        </w:numPr>
        <w:rPr>
          <w:rFonts w:ascii="Arial" w:hAnsi="Arial" w:cs="Arial"/>
        </w:rPr>
      </w:pPr>
      <w:r>
        <w:rPr>
          <w:rFonts w:cs="Arial" w:ascii="Times New Roman" w:hAnsi="Times New Roman"/>
          <w:sz w:val="24"/>
          <w:u w:val="single"/>
        </w:rPr>
        <w:t>Proof of Insurance</w:t>
      </w:r>
      <w:r>
        <w:rPr>
          <w:rFonts w:cs="Arial" w:ascii="Times New Roman" w:hAnsi="Times New Roman"/>
          <w:sz w:val="24"/>
        </w:rPr>
        <w:t>. The Tenant shall provide the Landlord with a copy of the Renters Insurance policy declaration page or a certificate of insurance prior to the commencement of the Term and upon any renewal or change of the policy. The Tenant must also provide proof of insurance within 10 days of any written request by the Landlord as a requirement under this Agreement.</w:t>
      </w:r>
    </w:p>
    <w:p>
      <w:pPr>
        <w:pStyle w:val="ListParagraph"/>
        <w:numPr>
          <w:ilvl w:val="1"/>
          <w:numId w:val="6"/>
        </w:numPr>
        <w:rPr>
          <w:rFonts w:ascii="Arial" w:hAnsi="Arial" w:cs="Arial"/>
        </w:rPr>
      </w:pPr>
      <w:r>
        <w:rPr>
          <w:rFonts w:cs="Arial" w:ascii="Times New Roman" w:hAnsi="Times New Roman"/>
          <w:sz w:val="24"/>
          <w:u w:val="single"/>
        </w:rPr>
        <w:t>Interested Party</w:t>
      </w:r>
      <w:r>
        <w:rPr>
          <w:rFonts w:cs="Arial" w:ascii="Times New Roman" w:hAnsi="Times New Roman"/>
          <w:sz w:val="24"/>
        </w:rPr>
        <w:t>. In any Renters Insurance policy, the Landlord must be named as an additional interested party.</w:t>
      </w:r>
    </w:p>
    <w:p>
      <w:pPr>
        <w:pStyle w:val="ListParagraph"/>
        <w:numPr>
          <w:ilvl w:val="1"/>
          <w:numId w:val="6"/>
        </w:numPr>
        <w:rPr>
          <w:rFonts w:ascii="Arial" w:hAnsi="Arial" w:cs="Arial"/>
        </w:rPr>
      </w:pPr>
      <w:r>
        <w:rPr>
          <w:rFonts w:cs="Arial" w:ascii="Times New Roman" w:hAnsi="Times New Roman"/>
          <w:sz w:val="24"/>
          <w:u w:val="single"/>
        </w:rPr>
        <w:t>Policy Maintenance</w:t>
      </w:r>
      <w:r>
        <w:rPr>
          <w:rFonts w:cs="Arial" w:ascii="Times New Roman" w:hAnsi="Times New Roman"/>
          <w:sz w:val="24"/>
        </w:rPr>
        <w:t>. The Tenant agrees to maintain the Renters Insurance policy in full force and effect for the duration of the Term and any renewals thereof. Failure to maintain the required insurance constitutes a breach of this Agreement and may result in termination of tenancy and eviction under local housing laws.</w:t>
      </w:r>
    </w:p>
    <w:p>
      <w:pPr>
        <w:pStyle w:val="ListParagraph"/>
        <w:numPr>
          <w:ilvl w:val="1"/>
          <w:numId w:val="6"/>
        </w:numPr>
        <w:rPr>
          <w:rFonts w:ascii="Arial" w:hAnsi="Arial" w:cs="Arial"/>
        </w:rPr>
      </w:pPr>
      <w:r>
        <w:rPr>
          <w:rFonts w:cs="Arial" w:ascii="Times New Roman" w:hAnsi="Times New Roman"/>
          <w:sz w:val="24"/>
          <w:u w:val="single"/>
        </w:rPr>
        <w:t>Landlord’s Insurance</w:t>
      </w:r>
      <w:r>
        <w:rPr>
          <w:rFonts w:cs="Arial" w:ascii="Times New Roman" w:hAnsi="Times New Roman"/>
          <w:sz w:val="24"/>
        </w:rPr>
        <w:t>. Tenant acknowledges that the Landlord’s insurance does not cover the Tenant’s personal property or liability.</w:t>
      </w:r>
    </w:p>
    <w:p>
      <w:pPr>
        <w:pStyle w:val="ListParagraph"/>
        <w:numPr>
          <w:ilvl w:val="1"/>
          <w:numId w:val="6"/>
        </w:numPr>
        <w:rPr>
          <w:rFonts w:ascii="Arial" w:hAnsi="Arial" w:cs="Arial"/>
        </w:rPr>
      </w:pPr>
      <w:r>
        <w:rPr>
          <w:rFonts w:cs="Arial" w:ascii="Times New Roman" w:hAnsi="Times New Roman"/>
          <w:sz w:val="24"/>
          <w:u w:val="single"/>
        </w:rPr>
        <w:t>Subrogation Waiver</w:t>
      </w:r>
      <w:r>
        <w:rPr>
          <w:rFonts w:cs="Arial" w:ascii="Times New Roman" w:hAnsi="Times New Roman"/>
          <w:sz w:val="24"/>
        </w:rPr>
        <w:t>. The Renters Insurance policy shall include a waiver of subrogation clause in favor of the Landlord, meaning the insurance company of the Renters Insurance cannot seek recovery from the Landlord for any claims paid under the Renters Insurance.</w:t>
      </w:r>
    </w:p>
    <w:p>
      <w:pPr>
        <w:pStyle w:val="ListParagraph"/>
        <w:numPr>
          <w:ilvl w:val="1"/>
          <w:numId w:val="6"/>
        </w:numPr>
        <w:rPr>
          <w:rFonts w:ascii="Arial" w:hAnsi="Arial" w:cs="Arial"/>
        </w:rPr>
      </w:pPr>
      <w:r>
        <w:rPr>
          <w:rFonts w:cs="Arial" w:ascii="Times New Roman" w:hAnsi="Times New Roman"/>
          <w:sz w:val="24"/>
          <w:u w:val="single"/>
        </w:rPr>
        <w:t>Failure to Maintain</w:t>
      </w:r>
      <w:r>
        <w:rPr>
          <w:rFonts w:cs="Arial" w:ascii="Times New Roman" w:hAnsi="Times New Roman"/>
          <w:sz w:val="24"/>
        </w:rPr>
        <w:t>. If the Tenant fails to obtain and maintain Renters Insurance as required under this Agreement, it shall be considered a violation and result in default of this Agreement.</w:t>
      </w:r>
    </w:p>
    <w:p>
      <w:pPr>
        <w:pStyle w:val="ListParagraph"/>
        <w:numPr>
          <w:ilvl w:val="0"/>
          <w:numId w:val="6"/>
        </w:numPr>
        <w:rPr>
          <w:rFonts w:ascii="Arial" w:hAnsi="Arial" w:cs="Arial"/>
        </w:rPr>
      </w:pPr>
      <w:r>
        <w:rPr>
          <w:rFonts w:cs="Arial" w:ascii="Times New Roman" w:hAnsi="Times New Roman"/>
          <w:sz w:val="24"/>
          <w:u w:val="single"/>
        </w:rPr>
        <w:t>Security Deposit</w:t>
      </w:r>
      <w:r>
        <w:rPr>
          <w:rFonts w:cs="Arial" w:ascii="Times New Roman" w:hAnsi="Times New Roman"/>
          <w:sz w:val="24"/>
        </w:rPr>
        <w:t>. If required, a Security Deposit is paid by the Tenant to the Landlord at the execution of this Agreement under the following terms:</w:t>
      </w:r>
    </w:p>
    <w:p>
      <w:pPr>
        <w:pStyle w:val="ListParagraph"/>
        <w:numPr>
          <w:ilvl w:val="0"/>
          <w:numId w:val="7"/>
        </w:numPr>
        <w:rPr>
          <w:rFonts w:ascii="Arial" w:hAnsi="Arial" w:cs="Arial"/>
        </w:rPr>
      </w:pPr>
      <w:r>
        <w:rPr>
          <w:rFonts w:cs="Arial" w:ascii="Times New Roman" w:hAnsi="Times New Roman"/>
          <w:sz w:val="24"/>
          <w:u w:val="single"/>
        </w:rPr>
        <w:t>Payment</w:t>
      </w:r>
      <w:r>
        <w:rPr>
          <w:rFonts w:cs="Arial" w:ascii="Times New Roman" w:hAnsi="Times New Roman"/>
          <w:sz w:val="24"/>
        </w:rPr>
        <w:t xml:space="preserve">. Payment of the Security Deposit must be made at the execution of this Agreement. </w:t>
      </w:r>
    </w:p>
    <w:p>
      <w:pPr>
        <w:pStyle w:val="ListParagraph"/>
        <w:numPr>
          <w:ilvl w:val="0"/>
          <w:numId w:val="7"/>
        </w:numPr>
        <w:rPr>
          <w:rFonts w:ascii="Arial" w:hAnsi="Arial" w:cs="Arial"/>
        </w:rPr>
      </w:pPr>
      <w:r>
        <w:rPr>
          <w:rFonts w:cs="Arial" w:ascii="Times New Roman" w:hAnsi="Times New Roman"/>
          <w:sz w:val="24"/>
          <w:u w:val="single"/>
        </w:rPr>
        <w:t>Returning to Tenant</w:t>
      </w:r>
      <w:r>
        <w:rPr>
          <w:rFonts w:cs="Arial" w:ascii="Times New Roman" w:hAnsi="Times New Roman"/>
          <w:sz w:val="24"/>
        </w:rPr>
        <w:t>. The Security Deposit is returned to the Tenant in accordance with the timeframe mentioned or Governing Law, whichever is greater. The timeframe shall start upon the Tenant's delivery and possession of the Property to the Landlord.</w:t>
      </w:r>
    </w:p>
    <w:p>
      <w:pPr>
        <w:pStyle w:val="ListParagraph"/>
        <w:numPr>
          <w:ilvl w:val="0"/>
          <w:numId w:val="7"/>
        </w:numPr>
        <w:rPr>
          <w:rFonts w:ascii="Arial" w:hAnsi="Arial" w:cs="Arial"/>
        </w:rPr>
      </w:pPr>
      <w:r>
        <w:rPr>
          <w:rFonts w:cs="Arial" w:ascii="Times New Roman" w:hAnsi="Times New Roman"/>
          <w:sz w:val="24"/>
          <w:u w:val="single"/>
        </w:rPr>
        <w:t>Receipt</w:t>
      </w:r>
      <w:r>
        <w:rPr>
          <w:rFonts w:cs="Arial" w:ascii="Times New Roman" w:hAnsi="Times New Roman"/>
          <w:sz w:val="24"/>
        </w:rPr>
        <w:t>. If required under Governing Law or at the Landlord’s sole discretion, the Landlord shall provide a receipt for the payment of a Security Deposit which may include the location of where the funds are held.</w:t>
      </w:r>
    </w:p>
    <w:p>
      <w:pPr>
        <w:pStyle w:val="ListParagraph"/>
        <w:numPr>
          <w:ilvl w:val="0"/>
          <w:numId w:val="7"/>
        </w:numPr>
        <w:rPr>
          <w:rFonts w:ascii="Arial" w:hAnsi="Arial" w:cs="Arial"/>
        </w:rPr>
      </w:pPr>
      <w:r>
        <w:rPr>
          <w:rFonts w:cs="Arial" w:ascii="Times New Roman" w:hAnsi="Times New Roman"/>
          <w:sz w:val="24"/>
          <w:u w:val="single"/>
        </w:rPr>
        <w:t>Interest</w:t>
      </w:r>
      <w:r>
        <w:rPr>
          <w:rFonts w:cs="Arial" w:ascii="Times New Roman" w:hAnsi="Times New Roman"/>
          <w:sz w:val="24"/>
        </w:rPr>
        <w:t>. Unless required under Governing Law, the Security Deposit shall not be placed in an interest-bearing bank account to the benefit of the Tenant.</w:t>
      </w:r>
    </w:p>
    <w:p>
      <w:pPr>
        <w:pStyle w:val="ListParagraph"/>
        <w:numPr>
          <w:ilvl w:val="0"/>
          <w:numId w:val="7"/>
        </w:numPr>
        <w:rPr>
          <w:rFonts w:ascii="Arial" w:hAnsi="Arial" w:cs="Arial"/>
        </w:rPr>
      </w:pPr>
      <w:r>
        <w:rPr>
          <w:rFonts w:cs="Arial" w:ascii="Times New Roman" w:hAnsi="Times New Roman"/>
          <w:sz w:val="24"/>
          <w:u w:val="single"/>
        </w:rPr>
        <w:t>Separate Bank Account</w:t>
      </w:r>
      <w:r>
        <w:rPr>
          <w:rFonts w:cs="Arial" w:ascii="Times New Roman" w:hAnsi="Times New Roman"/>
          <w:sz w:val="24"/>
        </w:rPr>
        <w:t>. If required under Governing Law, the Security Deposit is required to be placed in a separate bank account.</w:t>
      </w:r>
    </w:p>
    <w:p>
      <w:pPr>
        <w:pStyle w:val="ListParagraph"/>
        <w:numPr>
          <w:ilvl w:val="0"/>
          <w:numId w:val="6"/>
        </w:numPr>
        <w:rPr>
          <w:rFonts w:ascii="Arial" w:hAnsi="Arial" w:cs="Arial"/>
        </w:rPr>
      </w:pPr>
      <w:r>
        <w:rPr>
          <w:rFonts w:cs="Arial" w:ascii="Times New Roman" w:hAnsi="Times New Roman"/>
          <w:sz w:val="24"/>
          <w:u w:val="single"/>
        </w:rPr>
        <w:t>Smoking Policy</w:t>
      </w:r>
      <w:r>
        <w:rPr>
          <w:rFonts w:cs="Arial" w:ascii="Times New Roman" w:hAnsi="Times New Roman"/>
          <w:sz w:val="24"/>
        </w:rPr>
        <w:t>. Smoking, under this Agreement, is referred to using a 3rd party device to inhale plant-based or non-plant-based substances. This includes vaping or inhaling of any vapor-like products.</w:t>
      </w:r>
    </w:p>
    <w:p>
      <w:pPr>
        <w:pStyle w:val="ListParagraph"/>
        <w:numPr>
          <w:ilvl w:val="0"/>
          <w:numId w:val="6"/>
        </w:numPr>
        <w:rPr>
          <w:rFonts w:ascii="Arial" w:hAnsi="Arial" w:cs="Arial"/>
        </w:rPr>
      </w:pPr>
      <w:r>
        <w:rPr>
          <w:rFonts w:cs="Arial" w:ascii="Times New Roman" w:hAnsi="Times New Roman"/>
          <w:sz w:val="24"/>
          <w:u w:val="single"/>
        </w:rPr>
        <w:t>Term</w:t>
      </w:r>
      <w:r>
        <w:rPr>
          <w:rFonts w:cs="Arial" w:ascii="Times New Roman" w:hAnsi="Times New Roman"/>
          <w:sz w:val="24"/>
        </w:rPr>
        <w:t>. The Term shall be the period of time the Tenant and any Occupants are permitted to reside on the Property as mentioned in Section 3.</w:t>
      </w:r>
    </w:p>
    <w:p>
      <w:pPr>
        <w:pStyle w:val="ListParagraph"/>
        <w:numPr>
          <w:ilvl w:val="0"/>
          <w:numId w:val="6"/>
        </w:numPr>
        <w:rPr>
          <w:rFonts w:ascii="Arial" w:hAnsi="Arial" w:cs="Arial"/>
        </w:rPr>
      </w:pPr>
      <w:r>
        <w:rPr>
          <w:rFonts w:cs="Arial" w:ascii="Times New Roman" w:hAnsi="Times New Roman"/>
          <w:sz w:val="24"/>
          <w:u w:val="single"/>
        </w:rPr>
        <w:t>Utilities &amp; Services</w:t>
      </w:r>
      <w:r>
        <w:rPr>
          <w:rFonts w:cs="Arial" w:ascii="Times New Roman" w:hAnsi="Times New Roman"/>
          <w:sz w:val="24"/>
        </w:rPr>
        <w:t>. The Tenant is responsible for any Utilities &amp; Services not mentioned in Section 16 as the Landlord’s responsibility.</w:t>
      </w:r>
    </w:p>
    <w:p>
      <w:pPr>
        <w:pStyle w:val="ListParagraph"/>
        <w:numPr>
          <w:ilvl w:val="0"/>
          <w:numId w:val="6"/>
        </w:numPr>
        <w:rPr>
          <w:rFonts w:ascii="Arial" w:hAnsi="Arial" w:cs="Arial"/>
        </w:rPr>
      </w:pPr>
      <w:r>
        <w:rPr>
          <w:rFonts w:cs="Arial" w:ascii="Times New Roman" w:hAnsi="Times New Roman"/>
          <w:sz w:val="24"/>
          <w:u w:val="single"/>
        </w:rPr>
        <w:t>Violation of this Agreement</w:t>
      </w:r>
      <w:r>
        <w:rPr>
          <w:rFonts w:cs="Arial" w:ascii="Times New Roman" w:hAnsi="Times New Roman"/>
          <w:sz w:val="24"/>
        </w:rPr>
        <w:t>. If the Tenant violates this Agreement, and more than one individual is named as a Tenant, they shall jointly be liable for all obligations under this Agreement including but not limited to Rent damage to the Property, outstanding utility bills, and any other non-compliance.</w:t>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MISCELLANEOUS TERMS</w:t>
      </w:r>
      <w:r>
        <w:rPr>
          <w:rFonts w:cs="Arial" w:ascii="Times New Roman" w:hAnsi="Times New Roman"/>
          <w:sz w:val="24"/>
        </w:rPr>
        <w:t>.</w:t>
      </w:r>
    </w:p>
    <w:p>
      <w:pPr>
        <w:pStyle w:val="ListParagraph"/>
        <w:numPr>
          <w:ilvl w:val="0"/>
          <w:numId w:val="9"/>
        </w:numPr>
        <w:rPr>
          <w:rFonts w:ascii="Arial" w:hAnsi="Arial" w:cs="Arial"/>
        </w:rPr>
      </w:pPr>
      <w:r>
        <w:rPr>
          <w:rFonts w:cs="Arial" w:ascii="Times New Roman" w:hAnsi="Times New Roman"/>
          <w:sz w:val="24"/>
          <w:u w:val="single"/>
        </w:rPr>
        <w:t>Active Military</w:t>
      </w:r>
      <w:r>
        <w:rPr>
          <w:rFonts w:cs="Arial" w:ascii="Times New Roman" w:hAnsi="Times New Roman"/>
          <w:sz w:val="24"/>
        </w:rPr>
        <w:t xml:space="preserve">. </w:t>
      </w:r>
    </w:p>
    <w:p>
      <w:pPr>
        <w:pStyle w:val="ListParagraph"/>
        <w:numPr>
          <w:ilvl w:val="1"/>
          <w:numId w:val="9"/>
        </w:numPr>
        <w:rPr>
          <w:rFonts w:ascii="Arial" w:hAnsi="Arial" w:cs="Arial"/>
        </w:rPr>
      </w:pPr>
      <w:r>
        <w:rPr>
          <w:rFonts w:cs="Arial" w:ascii="Times New Roman" w:hAnsi="Times New Roman"/>
          <w:sz w:val="24"/>
          <w:u w:val="single"/>
        </w:rPr>
        <w:t>Right to Terminate</w:t>
      </w:r>
      <w:r>
        <w:rPr>
          <w:rFonts w:cs="Arial" w:ascii="Times New Roman" w:hAnsi="Times New Roman"/>
          <w:sz w:val="24"/>
        </w:rPr>
        <w:t>. Under the Servicemembers Civil Relief Act, the Tenant has the right to terminate this Agreement under the following conditions:</w:t>
      </w:r>
    </w:p>
    <w:p>
      <w:pPr>
        <w:pStyle w:val="ListParagraph"/>
        <w:numPr>
          <w:ilvl w:val="2"/>
          <w:numId w:val="9"/>
        </w:numPr>
        <w:rPr>
          <w:rFonts w:ascii="Arial" w:hAnsi="Arial" w:cs="Arial"/>
        </w:rPr>
      </w:pPr>
      <w:r>
        <w:rPr>
          <w:rFonts w:cs="Arial" w:ascii="Times New Roman" w:hAnsi="Times New Roman"/>
          <w:sz w:val="24"/>
          <w:u w:val="single"/>
        </w:rPr>
        <w:t>Permanent Change of Station</w:t>
      </w:r>
      <w:r>
        <w:rPr>
          <w:rFonts w:cs="Arial" w:ascii="Times New Roman" w:hAnsi="Times New Roman"/>
          <w:sz w:val="24"/>
        </w:rPr>
        <w:t>. If the Tenant’s station is moved by 50 miles or more from the Property; or</w:t>
      </w:r>
    </w:p>
    <w:p>
      <w:pPr>
        <w:pStyle w:val="ListParagraph"/>
        <w:numPr>
          <w:ilvl w:val="2"/>
          <w:numId w:val="9"/>
        </w:numPr>
        <w:rPr>
          <w:rFonts w:ascii="Arial" w:hAnsi="Arial" w:cs="Arial"/>
        </w:rPr>
      </w:pPr>
      <w:r>
        <w:rPr>
          <w:rFonts w:cs="Arial" w:ascii="Times New Roman" w:hAnsi="Times New Roman"/>
          <w:sz w:val="24"/>
          <w:u w:val="single"/>
        </w:rPr>
        <w:t>Deployment</w:t>
      </w:r>
      <w:r>
        <w:rPr>
          <w:rFonts w:cs="Arial" w:ascii="Times New Roman" w:hAnsi="Times New Roman"/>
          <w:sz w:val="24"/>
        </w:rPr>
        <w:t>. If the Tenant is deployed with a military unit for a period of not less than 90 days.</w:t>
      </w:r>
    </w:p>
    <w:p>
      <w:pPr>
        <w:pStyle w:val="ListParagraph"/>
        <w:numPr>
          <w:ilvl w:val="1"/>
          <w:numId w:val="9"/>
        </w:numPr>
        <w:rPr>
          <w:rFonts w:ascii="Arial" w:hAnsi="Arial" w:cs="Arial"/>
        </w:rPr>
      </w:pPr>
      <w:r>
        <w:rPr>
          <w:rFonts w:cs="Arial" w:ascii="Times New Roman" w:hAnsi="Times New Roman"/>
          <w:sz w:val="24"/>
          <w:u w:val="single"/>
        </w:rPr>
        <w:t>Notice</w:t>
      </w:r>
      <w:r>
        <w:rPr>
          <w:rFonts w:cs="Arial" w:ascii="Times New Roman" w:hAnsi="Times New Roman"/>
          <w:sz w:val="24"/>
        </w:rPr>
        <w:t>. For the Tenant to exercise termination under this section, written notice of termination and a copy of the official orders or a verification signed by the Tenant’s commanding officer shall suffice.</w:t>
      </w:r>
    </w:p>
    <w:p>
      <w:pPr>
        <w:pStyle w:val="ListParagraph"/>
        <w:numPr>
          <w:ilvl w:val="1"/>
          <w:numId w:val="9"/>
        </w:numPr>
        <w:rPr>
          <w:rFonts w:ascii="Arial" w:hAnsi="Arial" w:cs="Arial"/>
        </w:rPr>
      </w:pPr>
      <w:r>
        <w:rPr>
          <w:rFonts w:cs="Arial" w:ascii="Times New Roman" w:hAnsi="Times New Roman"/>
          <w:sz w:val="24"/>
          <w:u w:val="single"/>
        </w:rPr>
        <w:t>Termination Effective Date</w:t>
      </w:r>
      <w:r>
        <w:rPr>
          <w:rFonts w:cs="Arial" w:ascii="Times New Roman" w:hAnsi="Times New Roman"/>
          <w:sz w:val="24"/>
        </w:rPr>
        <w:t>. Under such termination, it shall be made effective 30 days after the first date on which the next rental payment is due after the notice of termination is delivered to the Landlord. No penalties or fees for early termination shall be charged to the Tenant. However, the Tenant is responsible for all Rent payments prior to the termination date.</w:t>
      </w:r>
    </w:p>
    <w:p>
      <w:pPr>
        <w:pStyle w:val="ListParagraph"/>
        <w:numPr>
          <w:ilvl w:val="1"/>
          <w:numId w:val="9"/>
        </w:numPr>
        <w:rPr>
          <w:rFonts w:ascii="Arial" w:hAnsi="Arial" w:cs="Arial"/>
        </w:rPr>
      </w:pPr>
      <w:r>
        <w:rPr>
          <w:rFonts w:cs="Arial" w:ascii="Times New Roman" w:hAnsi="Times New Roman"/>
          <w:sz w:val="24"/>
          <w:u w:val="single"/>
        </w:rPr>
        <w:t>Security Deposit</w:t>
      </w:r>
      <w:r>
        <w:rPr>
          <w:rFonts w:cs="Arial" w:ascii="Times New Roman" w:hAnsi="Times New Roman"/>
          <w:sz w:val="24"/>
        </w:rPr>
        <w:t>. Upon such termination, the Landlord shall return the amount paid by the Tenant as a Security Deposit in accordance with this Agreement.</w:t>
      </w:r>
    </w:p>
    <w:p>
      <w:pPr>
        <w:pStyle w:val="ListParagraph"/>
        <w:numPr>
          <w:ilvl w:val="0"/>
          <w:numId w:val="9"/>
        </w:numPr>
        <w:rPr>
          <w:rFonts w:ascii="Arial" w:hAnsi="Arial" w:cs="Arial"/>
        </w:rPr>
      </w:pPr>
      <w:r>
        <w:rPr>
          <w:rFonts w:cs="Arial" w:ascii="Times New Roman" w:hAnsi="Times New Roman"/>
          <w:sz w:val="24"/>
          <w:u w:val="single"/>
        </w:rPr>
        <w:t>Alterations</w:t>
      </w:r>
      <w:r>
        <w:rPr>
          <w:rFonts w:cs="Arial" w:ascii="Times New Roman" w:hAnsi="Times New Roman"/>
          <w:sz w:val="24"/>
        </w:rPr>
        <w:t>. The Tenant is not allowed to alter, modify, or change the Property in any manner without the prior written consent of the Landlord.</w:t>
      </w:r>
    </w:p>
    <w:p>
      <w:pPr>
        <w:pStyle w:val="ListParagraph"/>
        <w:numPr>
          <w:ilvl w:val="0"/>
          <w:numId w:val="9"/>
        </w:numPr>
        <w:rPr>
          <w:rFonts w:ascii="Arial" w:hAnsi="Arial" w:cs="Arial"/>
        </w:rPr>
      </w:pPr>
      <w:r>
        <w:rPr>
          <w:rFonts w:cs="Arial" w:ascii="Times New Roman" w:hAnsi="Times New Roman"/>
          <w:sz w:val="24"/>
          <w:u w:val="single"/>
        </w:rPr>
        <w:t>Compliance with Local Laws</w:t>
      </w:r>
      <w:r>
        <w:rPr>
          <w:rFonts w:cs="Arial" w:ascii="Times New Roman" w:hAnsi="Times New Roman"/>
          <w:sz w:val="24"/>
        </w:rPr>
        <w:t>. The Tenant agrees, during the Term, to adhere to all local, State, and Federal laws regarding any ordinances, orders, rules, and regulations.</w:t>
      </w:r>
    </w:p>
    <w:p>
      <w:pPr>
        <w:pStyle w:val="ListParagraph"/>
        <w:numPr>
          <w:ilvl w:val="0"/>
          <w:numId w:val="9"/>
        </w:numPr>
        <w:rPr>
          <w:rFonts w:ascii="Arial" w:hAnsi="Arial" w:cs="Arial"/>
        </w:rPr>
      </w:pPr>
      <w:r>
        <w:rPr>
          <w:rFonts w:cs="Arial" w:ascii="Times New Roman" w:hAnsi="Times New Roman"/>
          <w:sz w:val="24"/>
          <w:u w:val="single"/>
        </w:rPr>
        <w:t>Delivery and Possession</w:t>
      </w:r>
      <w:r>
        <w:rPr>
          <w:rFonts w:cs="Arial" w:ascii="Times New Roman" w:hAnsi="Times New Roman"/>
          <w:sz w:val="24"/>
        </w:rPr>
        <w:t>. To the best of their knowledge, the Landlord declares to deliver possession of the Property in a habitable condition with all utilities and services in working order. This includes being free of any bedbugs, pests, mold, leaks, or repairs needed that could affect the Tenant’s living standards.</w:t>
      </w:r>
    </w:p>
    <w:p>
      <w:pPr>
        <w:pStyle w:val="ListParagraph"/>
        <w:numPr>
          <w:ilvl w:val="1"/>
          <w:numId w:val="9"/>
        </w:numPr>
        <w:rPr>
          <w:rFonts w:ascii="Arial" w:hAnsi="Arial" w:cs="Arial"/>
        </w:rPr>
      </w:pPr>
      <w:r>
        <w:rPr>
          <w:rFonts w:cs="Arial" w:ascii="Times New Roman" w:hAnsi="Times New Roman"/>
          <w:sz w:val="24"/>
          <w:u w:val="single"/>
        </w:rPr>
        <w:t>Returning to Landlord</w:t>
      </w:r>
      <w:r>
        <w:rPr>
          <w:rFonts w:cs="Arial" w:ascii="Times New Roman" w:hAnsi="Times New Roman"/>
          <w:sz w:val="24"/>
        </w:rPr>
        <w:t>. Upon the termination of this Agreement, the Tenant is obligated to return the Property in the same or similar condition upon moving out, wear and tear excepted.</w:t>
      </w:r>
    </w:p>
    <w:p>
      <w:pPr>
        <w:pStyle w:val="ListParagraph"/>
        <w:numPr>
          <w:ilvl w:val="0"/>
          <w:numId w:val="9"/>
        </w:numPr>
        <w:rPr>
          <w:rFonts w:ascii="Arial" w:hAnsi="Arial" w:cs="Arial"/>
        </w:rPr>
      </w:pPr>
      <w:r>
        <w:rPr>
          <w:rFonts w:cs="Arial" w:ascii="Times New Roman" w:hAnsi="Times New Roman"/>
          <w:sz w:val="24"/>
          <w:u w:val="single"/>
        </w:rPr>
        <w:t>Dispute Resolution</w:t>
      </w:r>
      <w:r>
        <w:rPr>
          <w:rFonts w:cs="Arial" w:ascii="Times New Roman" w:hAnsi="Times New Roman"/>
          <w:sz w:val="24"/>
        </w:rPr>
        <w:t>. Should a dispute arise from this Agreement, the Parties agree to attempt an amicable resolution. If unresolved, disputes shall be settled by binding arbitration within the Governing Law, following the rules of a mutually agreed-upon arbitration association. The prevailing Party may recover reasonable attorneys’ fees. This Agreement is governed by the Governing Law with the jurisdiction for any court process to be of the Landlord’s preference in such area.</w:t>
      </w:r>
    </w:p>
    <w:p>
      <w:pPr>
        <w:pStyle w:val="ListParagraph"/>
        <w:numPr>
          <w:ilvl w:val="0"/>
          <w:numId w:val="9"/>
        </w:numPr>
        <w:rPr>
          <w:rFonts w:ascii="Arial" w:hAnsi="Arial" w:cs="Arial"/>
        </w:rPr>
      </w:pPr>
      <w:r>
        <w:rPr>
          <w:rFonts w:cs="Arial" w:ascii="Times New Roman" w:hAnsi="Times New Roman"/>
          <w:sz w:val="24"/>
          <w:u w:val="single"/>
        </w:rPr>
        <w:t>Equal Housing</w:t>
      </w:r>
      <w:r>
        <w:rPr>
          <w:rFonts w:cs="Arial" w:ascii="Times New Roman" w:hAnsi="Times New Roman"/>
          <w:sz w:val="24"/>
        </w:rPr>
        <w:t>. If the Tenant possesses any mental or physical impairment, the Landlord shall provide reasonable modifications to the Property unless the modifications would be too difficult or expensive for the Landlord to provide. Any impairments of the Tenant are encouraged to be provided and presented to the Landlord in writing to seek the most appropriate solution for providing modifications to the Property.</w:t>
      </w:r>
    </w:p>
    <w:p>
      <w:pPr>
        <w:pStyle w:val="ListParagraph"/>
        <w:numPr>
          <w:ilvl w:val="0"/>
          <w:numId w:val="9"/>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the Landlord harmless against all losses, damages, liabilities, claims, and expenses (including attorneys’ fees) incurred by the Landlord arising out of or related to the Tenant's use or occupancy of the Property, except to the extent caused by the gross negligence or willful misconduct of the Landlord. This indemnification shall survive the termination of this Agreement.</w:t>
      </w:r>
    </w:p>
    <w:p>
      <w:pPr>
        <w:pStyle w:val="ListParagraph"/>
        <w:numPr>
          <w:ilvl w:val="0"/>
          <w:numId w:val="9"/>
        </w:numPr>
        <w:rPr>
          <w:rFonts w:ascii="Arial" w:hAnsi="Arial" w:cs="Arial"/>
        </w:rPr>
      </w:pPr>
      <w:r>
        <w:rPr>
          <w:rFonts w:cs="Arial" w:ascii="Times New Roman" w:hAnsi="Times New Roman"/>
          <w:sz w:val="24"/>
          <w:u w:val="single"/>
        </w:rPr>
        <w:t>Maintenance</w:t>
      </w:r>
      <w:r>
        <w:rPr>
          <w:rFonts w:cs="Arial" w:ascii="Times New Roman" w:hAnsi="Times New Roman"/>
          <w:sz w:val="24"/>
        </w:rPr>
        <w:t>. Any maintenance required to maintain the Property’s condition of habitability shall be the Landlord’s responsibility, provided that it is not the result of the Tenant’s negligence.</w:t>
      </w:r>
    </w:p>
    <w:p>
      <w:pPr>
        <w:pStyle w:val="ListParagraph"/>
        <w:numPr>
          <w:ilvl w:val="0"/>
          <w:numId w:val="9"/>
        </w:numPr>
        <w:rPr>
          <w:rFonts w:ascii="Arial" w:hAnsi="Arial" w:cs="Arial"/>
        </w:rPr>
      </w:pPr>
      <w:r>
        <w:rPr>
          <w:rFonts w:cs="Arial" w:ascii="Times New Roman" w:hAnsi="Times New Roman"/>
          <w:sz w:val="24"/>
          <w:u w:val="single"/>
        </w:rPr>
        <w:t>Occupancy</w:t>
      </w:r>
      <w:r>
        <w:rPr>
          <w:rFonts w:cs="Arial" w:ascii="Times New Roman" w:hAnsi="Times New Roman"/>
          <w:sz w:val="24"/>
        </w:rPr>
        <w:t>. Within 48 hours of the Tenant’s occupancy of the Property, they accept that the Property is in working order and in a habitable condition.</w:t>
      </w:r>
    </w:p>
    <w:p>
      <w:pPr>
        <w:pStyle w:val="ListParagraph"/>
        <w:numPr>
          <w:ilvl w:val="0"/>
          <w:numId w:val="9"/>
        </w:numPr>
        <w:rPr>
          <w:rFonts w:ascii="Arial" w:hAnsi="Arial" w:cs="Arial"/>
        </w:rPr>
      </w:pPr>
      <w:r>
        <w:rPr>
          <w:rFonts w:cs="Arial" w:ascii="Times New Roman" w:hAnsi="Times New Roman"/>
          <w:sz w:val="24"/>
          <w:u w:val="single"/>
        </w:rPr>
        <w:t>Right of Entry</w:t>
      </w:r>
      <w:r>
        <w:rPr>
          <w:rFonts w:cs="Arial" w:ascii="Times New Roman" w:hAnsi="Times New Roman"/>
          <w:sz w:val="24"/>
        </w:rPr>
        <w:t>. The Landlord shall have the right to enter the Property, in accordance with Governing law or by providing 24 hours’ notice, whichever is greater, for the following reasons:</w:t>
      </w:r>
    </w:p>
    <w:p>
      <w:pPr>
        <w:pStyle w:val="ListParagraph"/>
        <w:numPr>
          <w:ilvl w:val="1"/>
          <w:numId w:val="9"/>
        </w:numPr>
        <w:rPr>
          <w:rFonts w:ascii="Arial" w:hAnsi="Arial" w:cs="Arial"/>
        </w:rPr>
      </w:pPr>
      <w:r>
        <w:rPr>
          <w:rFonts w:cs="Arial" w:ascii="Times New Roman" w:hAnsi="Times New Roman"/>
          <w:sz w:val="24"/>
        </w:rPr>
        <w:t>Maintenance and repairs;</w:t>
      </w:r>
    </w:p>
    <w:p>
      <w:pPr>
        <w:pStyle w:val="ListParagraph"/>
        <w:numPr>
          <w:ilvl w:val="1"/>
          <w:numId w:val="9"/>
        </w:numPr>
        <w:rPr>
          <w:rFonts w:ascii="Arial" w:hAnsi="Arial" w:cs="Arial"/>
        </w:rPr>
      </w:pPr>
      <w:r>
        <w:rPr>
          <w:rFonts w:cs="Arial" w:ascii="Times New Roman" w:hAnsi="Times New Roman"/>
          <w:sz w:val="24"/>
        </w:rPr>
        <w:t>Inspections.</w:t>
      </w:r>
    </w:p>
    <w:p>
      <w:pPr>
        <w:pStyle w:val="ListParagraph"/>
        <w:numPr>
          <w:ilvl w:val="1"/>
          <w:numId w:val="9"/>
        </w:numPr>
        <w:rPr>
          <w:rFonts w:ascii="Arial" w:hAnsi="Arial" w:cs="Arial"/>
        </w:rPr>
      </w:pPr>
      <w:r>
        <w:rPr>
          <w:rFonts w:cs="Arial" w:ascii="Times New Roman" w:hAnsi="Times New Roman"/>
          <w:sz w:val="24"/>
        </w:rPr>
        <w:t>Property showings.</w:t>
      </w:r>
    </w:p>
    <w:p>
      <w:pPr>
        <w:pStyle w:val="ListParagraph"/>
        <w:numPr>
          <w:ilvl w:val="1"/>
          <w:numId w:val="9"/>
        </w:numPr>
        <w:rPr>
          <w:rFonts w:ascii="Arial" w:hAnsi="Arial" w:cs="Arial"/>
        </w:rPr>
      </w:pPr>
      <w:r>
        <w:rPr>
          <w:rFonts w:cs="Arial" w:ascii="Times New Roman" w:hAnsi="Times New Roman"/>
          <w:sz w:val="24"/>
        </w:rPr>
        <w:t>Lease violations.</w:t>
      </w:r>
    </w:p>
    <w:p>
      <w:pPr>
        <w:pStyle w:val="ListParagraph"/>
        <w:numPr>
          <w:ilvl w:val="1"/>
          <w:numId w:val="9"/>
        </w:numPr>
        <w:rPr>
          <w:rFonts w:ascii="Arial" w:hAnsi="Arial" w:cs="Arial"/>
        </w:rPr>
      </w:pPr>
      <w:r>
        <w:rPr>
          <w:rFonts w:cs="Arial" w:ascii="Times New Roman" w:hAnsi="Times New Roman"/>
          <w:sz w:val="24"/>
        </w:rPr>
        <w:t>Emergencies.</w:t>
      </w:r>
    </w:p>
    <w:p>
      <w:pPr>
        <w:pStyle w:val="ListParagraph"/>
        <w:numPr>
          <w:ilvl w:val="1"/>
          <w:numId w:val="9"/>
        </w:numPr>
        <w:rPr>
          <w:rFonts w:ascii="Arial" w:hAnsi="Arial" w:cs="Arial"/>
        </w:rPr>
      </w:pPr>
      <w:r>
        <w:rPr>
          <w:rFonts w:cs="Arial" w:ascii="Times New Roman" w:hAnsi="Times New Roman"/>
          <w:sz w:val="24"/>
        </w:rPr>
        <w:t>Per local, State, or Federal laws.</w:t>
      </w:r>
    </w:p>
    <w:p>
      <w:pPr>
        <w:pStyle w:val="ListParagraph"/>
        <w:numPr>
          <w:ilvl w:val="0"/>
          <w:numId w:val="9"/>
        </w:numPr>
        <w:rPr>
          <w:rFonts w:ascii="Arial" w:hAnsi="Arial" w:cs="Arial"/>
        </w:rPr>
      </w:pPr>
      <w:r>
        <w:rPr>
          <w:rFonts w:cs="Arial" w:ascii="Times New Roman" w:hAnsi="Times New Roman"/>
          <w:sz w:val="24"/>
          <w:u w:val="single"/>
        </w:rPr>
        <w:t>Right of Quiet Enjoyment</w:t>
      </w:r>
      <w:r>
        <w:rPr>
          <w:rFonts w:cs="Arial" w:ascii="Times New Roman" w:hAnsi="Times New Roman"/>
          <w:sz w:val="24"/>
        </w:rPr>
        <w:t>. Both Parties shall have the right to quiet enjoyment of the Property, which shall not be infringed upon.</w:t>
      </w:r>
    </w:p>
    <w:p>
      <w:pPr>
        <w:pStyle w:val="ListParagraph"/>
        <w:numPr>
          <w:ilvl w:val="1"/>
          <w:numId w:val="9"/>
        </w:numPr>
        <w:rPr>
          <w:rFonts w:ascii="Arial" w:hAnsi="Arial" w:cs="Arial"/>
        </w:rPr>
      </w:pPr>
      <w:r>
        <w:rPr>
          <w:rFonts w:cs="Arial" w:ascii="Times New Roman" w:hAnsi="Times New Roman"/>
          <w:sz w:val="24"/>
          <w:u w:val="single"/>
        </w:rPr>
        <w:t>Tenant’s Right</w:t>
      </w:r>
      <w:r>
        <w:rPr>
          <w:rFonts w:cs="Arial" w:ascii="Times New Roman" w:hAnsi="Times New Roman"/>
          <w:sz w:val="24"/>
        </w:rPr>
        <w:t>. The Tenant has the right to enjoy the Property without disruptive interference from the Landlord or other tenants. Any other disturbance outside the Landlord’s power to mitigate shall be the responsibility of the Tenant to report to the appropriate authorities and cooperate with the Landlord in any reasonable measures to resolve the issue.</w:t>
      </w:r>
    </w:p>
    <w:p>
      <w:pPr>
        <w:pStyle w:val="ListParagraph"/>
        <w:numPr>
          <w:ilvl w:val="1"/>
          <w:numId w:val="9"/>
        </w:numPr>
        <w:rPr>
          <w:rFonts w:ascii="Arial" w:hAnsi="Arial" w:cs="Arial"/>
        </w:rPr>
      </w:pPr>
      <w:r>
        <w:rPr>
          <w:rFonts w:cs="Arial" w:ascii="Times New Roman" w:hAnsi="Times New Roman"/>
          <w:sz w:val="24"/>
          <w:u w:val="single"/>
        </w:rPr>
        <w:t>Landlord’s Right</w:t>
      </w:r>
      <w:r>
        <w:rPr>
          <w:rFonts w:cs="Arial" w:ascii="Times New Roman" w:hAnsi="Times New Roman"/>
          <w:sz w:val="24"/>
        </w:rPr>
        <w:t>. The Landlord and any other surrounding tenants have the right to enjoy the Property without disruptive interference by the Tenant. A violation of this section by the Tenant shall be considered a breach of this Agreement.</w:t>
      </w:r>
    </w:p>
    <w:p>
      <w:pPr>
        <w:pStyle w:val="ListParagraph"/>
        <w:numPr>
          <w:ilvl w:val="0"/>
          <w:numId w:val="9"/>
        </w:numPr>
        <w:rPr>
          <w:rFonts w:ascii="Arial" w:hAnsi="Arial" w:cs="Arial"/>
        </w:rPr>
      </w:pPr>
      <w:r>
        <w:rPr>
          <w:rFonts w:cs="Arial" w:ascii="Times New Roman" w:hAnsi="Times New Roman"/>
          <w:sz w:val="24"/>
          <w:u w:val="single"/>
        </w:rPr>
        <w:t>Sale of Property</w:t>
      </w:r>
      <w:r>
        <w:rPr>
          <w:rFonts w:cs="Arial" w:ascii="Times New Roman" w:hAnsi="Times New Roman"/>
          <w:sz w:val="24"/>
        </w:rPr>
        <w:t>. Upon the sale of the Property, the Landlord shall forward the new owner’s contact information, and this Agreement shall be assigned to the Landlord accordingly. This Agreement shall continue in the event of a sale.</w:t>
      </w:r>
    </w:p>
    <w:p>
      <w:pPr>
        <w:pStyle w:val="ListParagraph"/>
        <w:numPr>
          <w:ilvl w:val="0"/>
          <w:numId w:val="9"/>
        </w:numPr>
        <w:rPr>
          <w:rFonts w:ascii="Arial" w:hAnsi="Arial" w:cs="Arial"/>
        </w:rPr>
      </w:pPr>
      <w:r>
        <w:rPr>
          <w:rFonts w:cs="Arial" w:ascii="Times New Roman" w:hAnsi="Times New Roman"/>
          <w:sz w:val="24"/>
          <w:u w:val="single"/>
        </w:rPr>
        <w:t>Severability</w:t>
      </w:r>
      <w:r>
        <w:rPr>
          <w:rFonts w:cs="Arial" w:ascii="Times New Roman" w:hAnsi="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ListParagraph"/>
        <w:numPr>
          <w:ilvl w:val="0"/>
          <w:numId w:val="9"/>
        </w:numPr>
        <w:rPr>
          <w:rFonts w:ascii="Arial" w:hAnsi="Arial" w:cs="Arial"/>
        </w:rPr>
      </w:pPr>
      <w:r>
        <w:rPr>
          <w:rFonts w:cs="Arial" w:ascii="Times New Roman" w:hAnsi="Times New Roman"/>
          <w:sz w:val="24"/>
          <w:u w:val="single"/>
        </w:rPr>
        <w:t>Subletting</w:t>
      </w:r>
      <w:r>
        <w:rPr>
          <w:rFonts w:cs="Arial" w:ascii="Times New Roman" w:hAnsi="Times New Roman"/>
          <w:sz w:val="24"/>
        </w:rPr>
        <w:t>. If subletting is allowed, the Tenant acknowledges that any subtenants must follow the rules, responsibilities, and obligations under this Agreement and cannot occupy the Property longer than the Term. The Tenant accepts that any damage to the Property or any efforts to remove a subtenant shall be their sole responsibility. Furthermore, if a subtenant refuses to vacate the Property at the end of the Term, the Tenant shall be responsible for removing the subtenant and any loss of Rent of the Landlord.</w:t>
      </w:r>
    </w:p>
    <w:p>
      <w:pPr>
        <w:pStyle w:val="ListParagraph"/>
        <w:numPr>
          <w:ilvl w:val="1"/>
          <w:numId w:val="9"/>
        </w:numPr>
        <w:rPr>
          <w:rFonts w:ascii="Arial" w:hAnsi="Arial" w:cs="Arial"/>
        </w:rPr>
      </w:pPr>
      <w:r>
        <w:rPr>
          <w:rFonts w:cs="Arial" w:ascii="Times New Roman" w:hAnsi="Times New Roman"/>
          <w:sz w:val="24"/>
          <w:u w:val="single"/>
        </w:rPr>
        <w:t>Subletting Allowed with the Landlord’s Consent</w:t>
      </w:r>
      <w:r>
        <w:rPr>
          <w:rFonts w:cs="Arial" w:ascii="Times New Roman" w:hAnsi="Times New Roman"/>
          <w:sz w:val="24"/>
        </w:rPr>
        <w:t>. If this option is selected in Section 19, the Landlord must grant consent for each subtenant allowed on the Property. Therefore, if the Landlord’s consent is granted for a specific subtenant, it does not automatically extend to additional subtenants.</w:t>
      </w:r>
    </w:p>
    <w:p>
      <w:pPr>
        <w:pStyle w:val="ListParagraph"/>
        <w:numPr>
          <w:ilvl w:val="0"/>
          <w:numId w:val="9"/>
        </w:numPr>
        <w:rPr>
          <w:rFonts w:ascii="Arial" w:hAnsi="Arial" w:cs="Arial"/>
        </w:rPr>
      </w:pPr>
      <w:r>
        <w:rPr>
          <w:rFonts w:cs="Arial" w:ascii="Times New Roman" w:hAnsi="Times New Roman"/>
          <w:sz w:val="24"/>
          <w:u w:val="single"/>
        </w:rPr>
        <w:t>Termination</w:t>
      </w:r>
      <w:r>
        <w:rPr>
          <w:rFonts w:cs="Arial" w:ascii="Times New Roman" w:hAnsi="Times New Roman"/>
          <w:sz w:val="24"/>
        </w:rPr>
        <w:t>. If this Lease is not renewed or extended by mutual written agreement of the Landlord and Tenant, the Agreement will automatically terminate at 11:59 PM on the last day of the Term. Tenant agrees to vacate and surrender possession of the Property to the Landlord no later than 11:59 PM on the end date. Failure to vacate the Property by the end of the Term may result in the Tenant being deemed a holdover tenant, subject to additional rent and legal consequences, as permitted by Governing Law. Tenant is required to remove all personal belongings, leave the Property in good condition, and return all keys and access devices to the Landlord upon vacating.</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DEFAULT</w:t>
      </w:r>
      <w:r>
        <w:rPr>
          <w:rFonts w:cs="Arial" w:ascii="Times New Roman" w:hAnsi="Times New Roman"/>
          <w:sz w:val="24"/>
        </w:rPr>
        <w:t>.</w:t>
      </w:r>
    </w:p>
    <w:p>
      <w:pPr>
        <w:pStyle w:val="ListParagraph"/>
        <w:numPr>
          <w:ilvl w:val="0"/>
          <w:numId w:val="10"/>
        </w:numPr>
        <w:rPr>
          <w:rFonts w:ascii="Arial" w:hAnsi="Arial" w:cs="Arial"/>
        </w:rPr>
      </w:pPr>
      <w:r>
        <w:rPr>
          <w:rFonts w:cs="Arial" w:ascii="Times New Roman" w:hAnsi="Times New Roman"/>
          <w:sz w:val="24"/>
          <w:u w:val="single"/>
        </w:rPr>
        <w:t>Tenant’s Default</w:t>
      </w:r>
      <w:r>
        <w:rPr>
          <w:rFonts w:cs="Arial" w:ascii="Times New Roman" w:hAnsi="Times New Roman"/>
          <w:sz w:val="24"/>
        </w:rPr>
        <w:t>. A default by the Tenant shall occur if the Tenant fails to pay Rent or any other payment required by this Agreement the day after it is due, including any grace periods provided under Governing Law. Default shall also occur if the Tenant violates any other term or condition of this Agreement and fails to cure such violation within 5 days after receiving written notice of the violation from the Landlord, or the notice period as required under Governing Law, whichever is greater. Upon default, the Landlord may exercise any remedy available under this Agreement or Governing Law including but not limited to the termination of this Agreement, repossession of the Property, and initiation of legal proceedings to recover unpaid Rent and other claimed damages.</w:t>
      </w:r>
    </w:p>
    <w:p>
      <w:pPr>
        <w:pStyle w:val="ListParagraph"/>
        <w:numPr>
          <w:ilvl w:val="0"/>
          <w:numId w:val="10"/>
        </w:numPr>
        <w:rPr>
          <w:rFonts w:ascii="Arial" w:hAnsi="Arial" w:cs="Arial"/>
        </w:rPr>
      </w:pPr>
      <w:r>
        <w:rPr>
          <w:rFonts w:cs="Arial" w:ascii="Times New Roman" w:hAnsi="Times New Roman"/>
          <w:sz w:val="24"/>
          <w:u w:val="single"/>
        </w:rPr>
        <w:t>Landlord’s Default</w:t>
      </w:r>
      <w:r>
        <w:rPr>
          <w:rFonts w:cs="Arial" w:ascii="Times New Roman" w:hAnsi="Times New Roman"/>
          <w:sz w:val="24"/>
        </w:rPr>
        <w:t>. A default by the Landlord shall occur if the Landlord fails to perform any of its obligations under this Agreement, and such failure continues for 10 days after the Tenant gives the Landlord written notice of such failure. Upon default, the Tenant may exercise any remedy available under this Agreement or applicable law including but not limited to the right to terminate this Agreement, deduct the cost of repairs from future rent payments, and seek damages or specific performance through legal action.</w:t>
      </w:r>
    </w:p>
    <w:p>
      <w:pPr>
        <w:pStyle w:val="ListParagraph"/>
        <w:numPr>
          <w:ilvl w:val="0"/>
          <w:numId w:val="10"/>
        </w:numPr>
        <w:rPr>
          <w:rFonts w:ascii="Arial" w:hAnsi="Arial" w:cs="Arial"/>
        </w:rPr>
      </w:pPr>
      <w:r>
        <w:rPr>
          <w:rFonts w:cs="Arial" w:ascii="Times New Roman" w:hAnsi="Times New Roman"/>
          <w:sz w:val="24"/>
          <w:u w:val="single"/>
        </w:rPr>
        <w:t>Notice of Default</w:t>
      </w:r>
      <w:r>
        <w:rPr>
          <w:rFonts w:cs="Arial" w:ascii="Times New Roman" w:hAnsi="Times New Roman"/>
          <w:sz w:val="24"/>
        </w:rPr>
        <w:t>. Any notice required under this section shall be given in writing and shall be deemed sufficiently given if delivered in person or sent by registered or certified mail, return receipt requested, to the other Party at the address set forth in this Agreement or to such other address as either Party may have provided by written notice.</w:t>
      </w:r>
    </w:p>
    <w:p>
      <w:pPr>
        <w:pStyle w:val="Normal"/>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PROHIBITED ACTIONS</w:t>
      </w:r>
      <w:r>
        <w:rPr>
          <w:rFonts w:cs="Arial" w:ascii="Times New Roman" w:hAnsi="Times New Roman"/>
          <w:sz w:val="24"/>
        </w:rPr>
        <w:t>.</w:t>
      </w:r>
    </w:p>
    <w:p>
      <w:pPr>
        <w:pStyle w:val="ListParagraph"/>
        <w:numPr>
          <w:ilvl w:val="0"/>
          <w:numId w:val="8"/>
        </w:numPr>
        <w:rPr>
          <w:rFonts w:ascii="Arial" w:hAnsi="Arial" w:cs="Arial"/>
        </w:rPr>
      </w:pPr>
      <w:r>
        <w:rPr>
          <w:rFonts w:cs="Arial" w:ascii="Times New Roman" w:hAnsi="Times New Roman"/>
          <w:sz w:val="24"/>
          <w:u w:val="single"/>
        </w:rPr>
        <w:t>Assignment</w:t>
      </w:r>
      <w:r>
        <w:rPr>
          <w:rFonts w:cs="Arial" w:ascii="Times New Roman" w:hAnsi="Times New Roman"/>
          <w:sz w:val="24"/>
        </w:rPr>
        <w:t>. The Tenant has no rights to assign this Agreement to any other party unless written approval has been granted by the Landlord. The Landlord is prohibited from assigning this Agreement unless there is a change of Property ownership.</w:t>
      </w:r>
    </w:p>
    <w:p>
      <w:pPr>
        <w:pStyle w:val="ListParagraph"/>
        <w:numPr>
          <w:ilvl w:val="0"/>
          <w:numId w:val="8"/>
        </w:numPr>
        <w:rPr>
          <w:rFonts w:ascii="Arial" w:hAnsi="Arial" w:cs="Arial"/>
        </w:rPr>
      </w:pPr>
      <w:r>
        <w:rPr>
          <w:rFonts w:cs="Arial" w:ascii="Times New Roman" w:hAnsi="Times New Roman"/>
          <w:sz w:val="24"/>
          <w:u w:val="single"/>
        </w:rPr>
        <w:t>Hazardous Materials</w:t>
      </w:r>
      <w:r>
        <w:rPr>
          <w:rFonts w:cs="Arial" w:ascii="Times New Roman" w:hAnsi="Times New Roman"/>
          <w:sz w:val="24"/>
        </w:rPr>
        <w:t>. The Tenant agrees not to possess, store, or use any items or substances with flammable or explosive characteristics on the Property including, but not limited to, gasoline, compressed gases, kerosene, motor oil, fireworks, or any other substances deemed ignitable or hazardous.</w:t>
      </w:r>
    </w:p>
    <w:p>
      <w:pPr>
        <w:pStyle w:val="ListParagraph"/>
        <w:numPr>
          <w:ilvl w:val="0"/>
          <w:numId w:val="8"/>
        </w:numPr>
        <w:rPr>
          <w:rFonts w:ascii="Arial" w:hAnsi="Arial" w:cs="Arial"/>
        </w:rPr>
      </w:pPr>
      <w:r>
        <w:rPr>
          <w:rFonts w:cs="Arial" w:ascii="Times New Roman" w:hAnsi="Times New Roman"/>
          <w:sz w:val="24"/>
          <w:u w:val="single"/>
        </w:rPr>
        <w:t>Illegal Activity</w:t>
      </w:r>
      <w:r>
        <w:rPr>
          <w:rFonts w:cs="Arial" w:ascii="Times New Roman" w:hAnsi="Times New Roman"/>
          <w:sz w:val="24"/>
        </w:rPr>
        <w:t>. The Tenant agrees to comply with all applicable laws, ordinances, and regulations. The Tenant, their Guests, and any other Occupant shall not engage in any illegal activities anywhere on the Property including, but not limited to, the leased Property, Parking, and surrounding property. This prohibition extends to all illegal activities including, but not limited to, the manufacture, sale, distribution, use, or possession of illegal substances, theft, and violent behavior. Any violation of this clause constitutes a material breach of this Agreement and grounds for immediate termination of tenancy and eviction. Additionally, the Tenant shall be held liable for any damages resulting from such illegal activities including, but not limited to, repairs, legal fees, loss of rent, and any other expenses incurred by the Landlord due to the Tenant's illegal activities.</w:t>
      </w:r>
    </w:p>
    <w:p>
      <w:pPr>
        <w:pStyle w:val="ListParagraph"/>
        <w:numPr>
          <w:ilvl w:val="0"/>
          <w:numId w:val="8"/>
        </w:numPr>
        <w:rPr>
          <w:rFonts w:ascii="Arial" w:hAnsi="Arial" w:cs="Arial"/>
        </w:rPr>
      </w:pPr>
      <w:r>
        <w:rPr>
          <w:rFonts w:cs="Arial" w:ascii="Times New Roman" w:hAnsi="Times New Roman"/>
          <w:sz w:val="24"/>
          <w:u w:val="single"/>
        </w:rPr>
        <w:t>Residential Use Only</w:t>
      </w:r>
      <w:r>
        <w:rPr>
          <w:rFonts w:cs="Arial" w:ascii="Times New Roman" w:hAnsi="Times New Roman"/>
          <w:sz w:val="24"/>
        </w:rPr>
        <w:t>. The Tenant agrees to use the Property for residential purposes only. The Landlord must grant written approval if the Tenant uses the Property for any other purpose.</w:t>
      </w:r>
    </w:p>
    <w:p>
      <w:pPr>
        <w:pStyle w:val="ListParagraph"/>
        <w:numPr>
          <w:ilvl w:val="0"/>
          <w:numId w:val="8"/>
        </w:numPr>
        <w:rPr>
          <w:rFonts w:ascii="Arial" w:hAnsi="Arial" w:cs="Arial"/>
        </w:rPr>
      </w:pPr>
      <w:r>
        <w:rPr>
          <w:rFonts w:cs="Arial" w:ascii="Times New Roman" w:hAnsi="Times New Roman"/>
          <w:sz w:val="24"/>
          <w:u w:val="single"/>
        </w:rPr>
        <w:t>Waterbeds</w:t>
      </w:r>
      <w:r>
        <w:rPr>
          <w:rFonts w:cs="Arial" w:ascii="Times New Roman" w:hAnsi="Times New Roman"/>
          <w:sz w:val="24"/>
        </w:rPr>
        <w:t>. The Tenant is prohibited from using any type of bed, mattress, or sleeping aid containing any type of liquid that could cause excessive damage to the Property.</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ENTIRE AGREEMENT</w:t>
      </w:r>
      <w:r>
        <w:rPr>
          <w:rFonts w:cs="Arial" w:ascii="Times New Roman" w:hAnsi="Times New Roman"/>
          <w:sz w:val="24"/>
        </w:rPr>
        <w:t>. This Agreement constitutes the entire understanding between the Parties with regard to the subjects herein. It includes any attachments or addenda and supersedes all prior negotiations, understandings, and agreements among the Parties. Both Landlord and Tenant hereby acknowledge and agree to be bound by the terms and conditions set forth until the expiration or earlier termination of the Term.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IN WITNESS WHEREOF, the Parties have executed this Agreement as of the date first above written. Each Party warrants that they have the legal authority to enter into this Agreement and have done so as their free act and deed.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Landlord’s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rPr>
      </w:pPr>
      <w:r>
        <w:rPr>
          <w:rFonts w:cs="Arial" w:ascii="Times New Roman" w:hAnsi="Times New Roman"/>
          <w:b/>
          <w:bCs/>
          <w:sz w:val="24"/>
          <w:szCs w:val="32"/>
        </w:rPr>
        <w:t>AMOUNT DUE AT SIGNING</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First (1</w:t>
      </w:r>
      <w:r>
        <w:rPr>
          <w:rFonts w:cs="Arial" w:ascii="Times New Roman" w:hAnsi="Times New Roman"/>
          <w:sz w:val="24"/>
          <w:vertAlign w:val="superscript"/>
        </w:rPr>
        <w:t>st</w:t>
      </w:r>
      <w:r>
        <w:rPr>
          <w:rFonts w:cs="Arial" w:ascii="Times New Roman" w:hAnsi="Times New Roman"/>
          <w:sz w:val="24"/>
        </w:rPr>
        <w:t>) Month’s Rent: $</w:t>
      </w:r>
      <w:r>
        <w:fldChar w:fldCharType="begin">
          <w:ffData>
            <w:name w:val="Bookmark Copy 41"/>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4)</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Security Deposit: $</w:t>
      </w:r>
      <w:r>
        <w:fldChar w:fldCharType="begin">
          <w:ffData>
            <w:name w:val="Bookmark Copy 42"/>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5)</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Early Move-in (Proration Amount): $</w:t>
      </w:r>
      <w:r>
        <w:fldChar w:fldCharType="begin">
          <w:ffData>
            <w:name w:val="Bookmark Copy 43"/>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8)</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Pre-Payment of Rent: $</w:t>
      </w:r>
      <w:r>
        <w:fldChar w:fldCharType="begin">
          <w:ffData>
            <w:name w:val="Bookmark Copy 4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9)</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Pet Deposit $</w:t>
      </w:r>
      <w:r>
        <w:fldChar w:fldCharType="begin">
          <w:ffData>
            <w:name w:val="Bookmark Copy 4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11)</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Parking Fee: </w:t>
      </w:r>
      <w:r>
        <w:fldChar w:fldCharType="begin">
          <w:ffData>
            <w:name w:val="Bookmark Copy 46"/>
            <w:enabled/>
            <w:calcOnExit w:val="0"/>
            <w:textInput>
              <w:default w:val="[DESCRIBE PARKING FEE]"/>
            </w:textInput>
          </w:ffData>
        </w:fldChar>
      </w:r>
      <w:r>
        <w:rPr/>
        <w:instrText xml:space="preserve"> FORMTEXT </w:instrText>
      </w:r>
      <w:r>
        <w:rPr/>
      </w:r>
      <w:r>
        <w:rPr/>
        <w:fldChar w:fldCharType="separate"/>
      </w:r>
      <w:r>
        <w:rPr/>
      </w:r>
      <w:r>
        <w:rPr>
          <w:rFonts w:cs="Arial" w:ascii="Times New Roman" w:hAnsi="Times New Roman"/>
          <w:sz w:val="24"/>
        </w:rPr>
        <w:t>[DESCRIBE PARKING FEE]</w:t>
      </w:r>
      <w:r>
        <w:rPr/>
      </w:r>
      <w:r>
        <w:rPr/>
        <w:fldChar w:fldCharType="end"/>
      </w:r>
      <w:r>
        <w:rPr>
          <w:rFonts w:cs="Arial" w:ascii="Times New Roman" w:hAnsi="Times New Roman"/>
          <w:sz w:val="24"/>
        </w:rPr>
        <w:t xml:space="preserve"> (section 13)</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Total Amount Due</w:t>
      </w:r>
      <w:r>
        <w:rPr>
          <w:rFonts w:cs="Arial" w:ascii="Times New Roman" w:hAnsi="Times New Roman"/>
          <w:sz w:val="24"/>
        </w:rPr>
        <w:t>: $</w:t>
      </w:r>
      <w:r>
        <w:fldChar w:fldCharType="begin">
          <w:ffData>
            <w:name w:val="Bookmark Copy 4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spacing w:lineRule="auto" w:line="276" w:before="0" w:after="16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Aptos">
    <w:charset w:val="01" w:characterSet="utf-8"/>
    <w:family w:val="roman"/>
    <w:pitch w:val="variable"/>
  </w:font>
  <w:font w:name="Aptos Display">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3">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bullet"/>
      <w:lvlText w:val=""/>
      <w:lvlJc w:val="start"/>
      <w:pPr>
        <w:tabs>
          <w:tab w:val="num" w:pos="0"/>
        </w:tabs>
        <w:ind w:start="1080" w:hanging="360"/>
      </w:pPr>
      <w:rPr>
        <w:rFonts w:ascii="Symbol" w:hAnsi="Symbol" w:cs="Symbol" w:hint="default"/>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bullet"/>
      <w:lvlText w:val=""/>
      <w:lvlJc w:val="start"/>
      <w:pPr>
        <w:tabs>
          <w:tab w:val="num" w:pos="0"/>
        </w:tabs>
        <w:ind w:start="1080" w:hanging="360"/>
      </w:pPr>
      <w:rPr>
        <w:rFonts w:ascii="Symbol" w:hAnsi="Symbol" w:cs="Symbol" w:hint="default"/>
      </w:rPr>
    </w:lvl>
    <w:lvl w:ilvl="1">
      <w:start w:val="1"/>
      <w:numFmt w:val="bullet"/>
      <w:lvlText w:val="o"/>
      <w:lvlJc w:val="start"/>
      <w:pPr>
        <w:tabs>
          <w:tab w:val="num" w:pos="0"/>
        </w:tabs>
        <w:ind w:start="1800" w:hanging="360"/>
      </w:pPr>
      <w:rPr>
        <w:rFonts w:ascii="Courier New" w:hAnsi="Courier New" w:cs="Courier New" w:hint="default"/>
      </w:rPr>
    </w:lvl>
    <w:lvl w:ilvl="2">
      <w:start w:val="1"/>
      <w:numFmt w:val="bullet"/>
      <w:lvlText w:val=""/>
      <w:lvlJc w:val="start"/>
      <w:pPr>
        <w:tabs>
          <w:tab w:val="num" w:pos="0"/>
        </w:tabs>
        <w:ind w:start="2520" w:hanging="360"/>
      </w:pPr>
      <w:rPr>
        <w:rFonts w:ascii="Wingdings" w:hAnsi="Wingdings" w:cs="Wingdings" w:hint="default"/>
      </w:rPr>
    </w:lvl>
    <w:lvl w:ilvl="3">
      <w:start w:val="1"/>
      <w:numFmt w:val="bullet"/>
      <w:lvlText w:val=""/>
      <w:lvlJc w:val="start"/>
      <w:pPr>
        <w:tabs>
          <w:tab w:val="num" w:pos="0"/>
        </w:tabs>
        <w:ind w:start="3240" w:hanging="360"/>
      </w:pPr>
      <w:rPr>
        <w:rFonts w:ascii="Symbol" w:hAnsi="Symbol" w:cs="Symbol" w:hint="default"/>
      </w:rPr>
    </w:lvl>
    <w:lvl w:ilvl="4">
      <w:start w:val="1"/>
      <w:numFmt w:val="bullet"/>
      <w:lvlText w:val="o"/>
      <w:lvlJc w:val="start"/>
      <w:pPr>
        <w:tabs>
          <w:tab w:val="num" w:pos="0"/>
        </w:tabs>
        <w:ind w:start="3960" w:hanging="360"/>
      </w:pPr>
      <w:rPr>
        <w:rFonts w:ascii="Courier New" w:hAnsi="Courier New" w:cs="Courier New" w:hint="default"/>
      </w:rPr>
    </w:lvl>
    <w:lvl w:ilvl="5">
      <w:start w:val="1"/>
      <w:numFmt w:val="bullet"/>
      <w:lvlText w:val=""/>
      <w:lvlJc w:val="start"/>
      <w:pPr>
        <w:tabs>
          <w:tab w:val="num" w:pos="0"/>
        </w:tabs>
        <w:ind w:start="4680" w:hanging="360"/>
      </w:pPr>
      <w:rPr>
        <w:rFonts w:ascii="Wingdings" w:hAnsi="Wingdings" w:cs="Wingdings" w:hint="default"/>
      </w:rPr>
    </w:lvl>
    <w:lvl w:ilvl="6">
      <w:start w:val="1"/>
      <w:numFmt w:val="bullet"/>
      <w:lvlText w:val=""/>
      <w:lvlJc w:val="start"/>
      <w:pPr>
        <w:tabs>
          <w:tab w:val="num" w:pos="0"/>
        </w:tabs>
        <w:ind w:start="5400" w:hanging="360"/>
      </w:pPr>
      <w:rPr>
        <w:rFonts w:ascii="Symbol" w:hAnsi="Symbol" w:cs="Symbol" w:hint="default"/>
      </w:rPr>
    </w:lvl>
    <w:lvl w:ilvl="7">
      <w:start w:val="1"/>
      <w:numFmt w:val="bullet"/>
      <w:lvlText w:val="o"/>
      <w:lvlJc w:val="start"/>
      <w:pPr>
        <w:tabs>
          <w:tab w:val="num" w:pos="0"/>
        </w:tabs>
        <w:ind w:start="6120" w:hanging="360"/>
      </w:pPr>
      <w:rPr>
        <w:rFonts w:ascii="Courier New" w:hAnsi="Courier New" w:cs="Courier New" w:hint="default"/>
      </w:rPr>
    </w:lvl>
    <w:lvl w:ilvl="8">
      <w:start w:val="1"/>
      <w:numFmt w:val="bullet"/>
      <w:lvlText w:val=""/>
      <w:lvlJc w:val="start"/>
      <w:pPr>
        <w:tabs>
          <w:tab w:val="num" w:pos="0"/>
        </w:tabs>
        <w:ind w:start="6840" w:hanging="360"/>
      </w:pPr>
      <w:rPr>
        <w:rFonts w:ascii="Wingdings" w:hAnsi="Wingdings" w:cs="Wingdings" w:hint="default"/>
      </w:rPr>
    </w:lvl>
  </w:abstractNum>
  <w:abstractNum w:abstractNumId="5">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6">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7">
    <w:lvl w:ilvl="0">
      <w:start w:val="1"/>
      <w:numFmt w:val="lowerRoman"/>
      <w:lvlText w:val="%1."/>
      <w:lvlJc w:val="end"/>
      <w:pPr>
        <w:tabs>
          <w:tab w:val="num" w:pos="0"/>
        </w:tabs>
        <w:ind w:start="1800" w:hanging="360"/>
      </w:pPr>
      <w:rPr>
        <w:u w:val="none"/>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8">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9">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decimal"/>
      <w:lvlText w:val="%3)"/>
      <w:lvlJc w:val="start"/>
      <w:pPr>
        <w:tabs>
          <w:tab w:val="num" w:pos="0"/>
        </w:tabs>
        <w:ind w:start="2700" w:hanging="360"/>
      </w:pPr>
      <w:rPr/>
    </w:lvl>
    <w:lvl w:ilvl="3">
      <w:start w:val="1"/>
      <w:numFmt w:val="lowerLetter"/>
      <w:lvlText w:val="%4."/>
      <w:lvlJc w:val="start"/>
      <w:pPr>
        <w:tabs>
          <w:tab w:val="num" w:pos="0"/>
        </w:tabs>
        <w:ind w:start="3240" w:hanging="360"/>
      </w:pPr>
      <w:rPr/>
    </w:lvl>
    <w:lvl w:ilvl="4">
      <w:start w:val="1"/>
      <w:numFmt w:val="decimal"/>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0">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1">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12">
    <w:lvl w:ilvl="0">
      <w:start w:val="1"/>
      <w:numFmt w:val="bullet"/>
      <w:lvlText w:val=""/>
      <w:lvlJc w:val="start"/>
      <w:pPr>
        <w:tabs>
          <w:tab w:val="num" w:pos="0"/>
        </w:tabs>
        <w:ind w:start="1080" w:hanging="360"/>
      </w:pPr>
      <w:rPr>
        <w:rFonts w:ascii="Symbol" w:hAnsi="Symbol" w:cs="Symbol" w:hint="default"/>
      </w:rPr>
    </w:lvl>
    <w:lvl w:ilvl="1">
      <w:start w:val="1"/>
      <w:numFmt w:val="bullet"/>
      <w:lvlText w:val="o"/>
      <w:lvlJc w:val="start"/>
      <w:pPr>
        <w:tabs>
          <w:tab w:val="num" w:pos="0"/>
        </w:tabs>
        <w:ind w:start="1800" w:hanging="360"/>
      </w:pPr>
      <w:rPr>
        <w:rFonts w:ascii="Courier New" w:hAnsi="Courier New" w:cs="Courier New" w:hint="default"/>
      </w:rPr>
    </w:lvl>
    <w:lvl w:ilvl="2">
      <w:start w:val="1"/>
      <w:numFmt w:val="bullet"/>
      <w:lvlText w:val=""/>
      <w:lvlJc w:val="start"/>
      <w:pPr>
        <w:tabs>
          <w:tab w:val="num" w:pos="0"/>
        </w:tabs>
        <w:ind w:start="2520" w:hanging="360"/>
      </w:pPr>
      <w:rPr>
        <w:rFonts w:ascii="Wingdings" w:hAnsi="Wingdings" w:cs="Wingdings" w:hint="default"/>
      </w:rPr>
    </w:lvl>
    <w:lvl w:ilvl="3">
      <w:start w:val="1"/>
      <w:numFmt w:val="bullet"/>
      <w:lvlText w:val=""/>
      <w:lvlJc w:val="start"/>
      <w:pPr>
        <w:tabs>
          <w:tab w:val="num" w:pos="0"/>
        </w:tabs>
        <w:ind w:start="3240" w:hanging="360"/>
      </w:pPr>
      <w:rPr>
        <w:rFonts w:ascii="Symbol" w:hAnsi="Symbol" w:cs="Symbol" w:hint="default"/>
      </w:rPr>
    </w:lvl>
    <w:lvl w:ilvl="4">
      <w:start w:val="1"/>
      <w:numFmt w:val="bullet"/>
      <w:lvlText w:val="o"/>
      <w:lvlJc w:val="start"/>
      <w:pPr>
        <w:tabs>
          <w:tab w:val="num" w:pos="0"/>
        </w:tabs>
        <w:ind w:start="3960" w:hanging="360"/>
      </w:pPr>
      <w:rPr>
        <w:rFonts w:ascii="Courier New" w:hAnsi="Courier New" w:cs="Courier New" w:hint="default"/>
      </w:rPr>
    </w:lvl>
    <w:lvl w:ilvl="5">
      <w:start w:val="1"/>
      <w:numFmt w:val="bullet"/>
      <w:lvlText w:val=""/>
      <w:lvlJc w:val="start"/>
      <w:pPr>
        <w:tabs>
          <w:tab w:val="num" w:pos="0"/>
        </w:tabs>
        <w:ind w:start="4680" w:hanging="360"/>
      </w:pPr>
      <w:rPr>
        <w:rFonts w:ascii="Wingdings" w:hAnsi="Wingdings" w:cs="Wingdings" w:hint="default"/>
      </w:rPr>
    </w:lvl>
    <w:lvl w:ilvl="6">
      <w:start w:val="1"/>
      <w:numFmt w:val="bullet"/>
      <w:lvlText w:val=""/>
      <w:lvlJc w:val="start"/>
      <w:pPr>
        <w:tabs>
          <w:tab w:val="num" w:pos="0"/>
        </w:tabs>
        <w:ind w:start="5400" w:hanging="360"/>
      </w:pPr>
      <w:rPr>
        <w:rFonts w:ascii="Symbol" w:hAnsi="Symbol" w:cs="Symbol" w:hint="default"/>
      </w:rPr>
    </w:lvl>
    <w:lvl w:ilvl="7">
      <w:start w:val="1"/>
      <w:numFmt w:val="bullet"/>
      <w:lvlText w:val="o"/>
      <w:lvlJc w:val="start"/>
      <w:pPr>
        <w:tabs>
          <w:tab w:val="num" w:pos="0"/>
        </w:tabs>
        <w:ind w:start="6120" w:hanging="360"/>
      </w:pPr>
      <w:rPr>
        <w:rFonts w:ascii="Courier New" w:hAnsi="Courier New" w:cs="Courier New" w:hint="default"/>
      </w:rPr>
    </w:lvl>
    <w:lvl w:ilvl="8">
      <w:start w:val="1"/>
      <w:numFmt w:val="bullet"/>
      <w:lvlText w:val=""/>
      <w:lvlJc w:val="start"/>
      <w:pPr>
        <w:tabs>
          <w:tab w:val="num" w:pos="0"/>
        </w:tabs>
        <w:ind w:start="684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Aptos" w:hAnsi="Aptos" w:eastAsia="Aptos"/>
      <w:color w:val="auto"/>
      <w:kern w:val="2"/>
      <w:sz w:val="24"/>
      <w:szCs w:val="24"/>
      <w:lang w:val="en-US" w:eastAsia="en-US" w:bidi="ar-SA"/>
    </w:rPr>
  </w:style>
  <w:style w:type="paragraph" w:styleId="Heading1">
    <w:name w:val="heading 1"/>
    <w:basedOn w:val="Normal"/>
    <w:next w:val="Normal"/>
    <w:link w:val="Heading1Char"/>
    <w:qFormat/>
    <w:pPr>
      <w:keepNext w:val="true"/>
      <w:keepLines/>
      <w:numPr>
        <w:ilvl w:val="0"/>
        <w:numId w:val="0"/>
      </w:numPr>
      <w:spacing w:before="360" w:after="80"/>
      <w:outlineLvl w:val="0"/>
    </w:pPr>
    <w:rPr>
      <w:rFonts w:ascii="Aptos Display" w:hAnsi="Aptos Display" w:eastAsia="Aptos" w:cs="Tahoma"/>
      <w:color w:themeColor="accent1" w:themeShade="bf" w:val="0F4761"/>
      <w:sz w:val="40"/>
      <w:szCs w:val="40"/>
    </w:rPr>
  </w:style>
  <w:style w:type="paragraph" w:styleId="Heading2">
    <w:name w:val="heading 2"/>
    <w:basedOn w:val="Normal"/>
    <w:next w:val="Normal"/>
    <w:link w:val="Heading2Char"/>
    <w:qFormat/>
    <w:pPr>
      <w:keepNext w:val="true"/>
      <w:keepLines/>
      <w:numPr>
        <w:ilvl w:val="0"/>
        <w:numId w:val="0"/>
      </w:numPr>
      <w:spacing w:before="160" w:after="80"/>
      <w:outlineLvl w:val="1"/>
    </w:pPr>
    <w:rPr>
      <w:rFonts w:ascii="Aptos Display" w:hAnsi="Aptos Display" w:eastAsia="Aptos" w:cs="Tahoma"/>
      <w:color w:themeColor="accent1" w:themeShade="bf" w:val="0F4761"/>
      <w:sz w:val="32"/>
      <w:szCs w:val="32"/>
    </w:rPr>
  </w:style>
  <w:style w:type="paragraph" w:styleId="Heading3">
    <w:name w:val="heading 3"/>
    <w:basedOn w:val="Normal"/>
    <w:next w:val="Normal"/>
    <w:link w:val="Heading3Char"/>
    <w:qFormat/>
    <w:pPr>
      <w:keepNext w:val="true"/>
      <w:keepLines/>
      <w:numPr>
        <w:ilvl w:val="0"/>
        <w:numId w:val="0"/>
      </w:numPr>
      <w:spacing w:before="160" w:after="80"/>
      <w:outlineLvl w:val="2"/>
    </w:pPr>
    <w:rPr>
      <w:rFonts w:eastAsia="Aptos" w:cs="Tahoma"/>
      <w:color w:themeColor="accent1" w:themeShade="bf" w:val="0F4761"/>
      <w:sz w:val="28"/>
      <w:szCs w:val="28"/>
    </w:rPr>
  </w:style>
  <w:style w:type="paragraph" w:styleId="Heading4">
    <w:name w:val="heading 4"/>
    <w:basedOn w:val="Normal"/>
    <w:next w:val="Normal"/>
    <w:link w:val="Heading4Char"/>
    <w:qFormat/>
    <w:pPr>
      <w:keepNext w:val="true"/>
      <w:keepLines/>
      <w:numPr>
        <w:ilvl w:val="0"/>
        <w:numId w:val="0"/>
      </w:numPr>
      <w:spacing w:before="80" w:after="40"/>
      <w:outlineLvl w:val="3"/>
    </w:pPr>
    <w:rPr>
      <w:rFonts w:eastAsia="Aptos" w:cs="Tahoma"/>
      <w:i/>
      <w:iCs/>
      <w:color w:themeColor="accent1" w:themeShade="bf" w:val="0F4761"/>
    </w:rPr>
  </w:style>
  <w:style w:type="paragraph" w:styleId="Heading5">
    <w:name w:val="heading 5"/>
    <w:basedOn w:val="Normal"/>
    <w:next w:val="Normal"/>
    <w:link w:val="Heading5Char"/>
    <w:qFormat/>
    <w:pPr>
      <w:keepNext w:val="true"/>
      <w:keepLines/>
      <w:numPr>
        <w:ilvl w:val="0"/>
        <w:numId w:val="0"/>
      </w:numPr>
      <w:spacing w:before="80" w:after="40"/>
      <w:outlineLvl w:val="4"/>
    </w:pPr>
    <w:rPr>
      <w:rFonts w:eastAsia="Aptos" w:cs="Tahoma"/>
      <w:color w:themeColor="accent1" w:themeShade="bf" w:val="0F4761"/>
    </w:rPr>
  </w:style>
  <w:style w:type="paragraph" w:styleId="Heading6">
    <w:name w:val="heading 6"/>
    <w:basedOn w:val="Normal"/>
    <w:next w:val="Normal"/>
    <w:link w:val="Heading6Char"/>
    <w:qFormat/>
    <w:pPr>
      <w:keepNext w:val="true"/>
      <w:keepLines/>
      <w:numPr>
        <w:ilvl w:val="0"/>
        <w:numId w:val="0"/>
      </w:numPr>
      <w:spacing w:before="40" w:after="0"/>
      <w:outlineLvl w:val="5"/>
    </w:pPr>
    <w:rPr>
      <w:rFonts w:eastAsia="Aptos" w:cs="Tahoma"/>
      <w:i/>
      <w:iCs/>
      <w:color w:themeColor="dark1" w:themeTint="a6" w:val="595959"/>
    </w:rPr>
  </w:style>
  <w:style w:type="paragraph" w:styleId="Heading7">
    <w:name w:val="heading 7"/>
    <w:basedOn w:val="Normal"/>
    <w:next w:val="Normal"/>
    <w:link w:val="Heading7Char"/>
    <w:qFormat/>
    <w:pPr>
      <w:keepNext w:val="true"/>
      <w:keepLines/>
      <w:numPr>
        <w:ilvl w:val="0"/>
        <w:numId w:val="0"/>
      </w:numPr>
      <w:spacing w:before="40" w:after="0"/>
      <w:outlineLvl w:val="6"/>
    </w:pPr>
    <w:rPr>
      <w:rFonts w:eastAsia="Aptos" w:cs="Tahoma"/>
      <w:color w:themeColor="dark1" w:themeTint="a6" w:val="595959"/>
    </w:rPr>
  </w:style>
  <w:style w:type="paragraph" w:styleId="Heading8">
    <w:name w:val="heading 8"/>
    <w:basedOn w:val="Normal"/>
    <w:next w:val="Normal"/>
    <w:link w:val="Heading8Char"/>
    <w:qFormat/>
    <w:pPr>
      <w:keepNext w:val="true"/>
      <w:keepLines/>
      <w:numPr>
        <w:ilvl w:val="0"/>
        <w:numId w:val="0"/>
      </w:numPr>
      <w:outlineLvl w:val="7"/>
    </w:pPr>
    <w:rPr>
      <w:rFonts w:eastAsia="Aptos" w:cs="Tahoma"/>
      <w:i/>
      <w:iCs/>
      <w:color w:themeColor="dark1" w:themeTint="d8" w:val="272727"/>
    </w:rPr>
  </w:style>
  <w:style w:type="paragraph" w:styleId="Heading9">
    <w:name w:val="heading 9"/>
    <w:basedOn w:val="Normal"/>
    <w:next w:val="Normal"/>
    <w:link w:val="Heading9Char"/>
    <w:qFormat/>
    <w:pPr>
      <w:keepNext w:val="true"/>
      <w:keepLines/>
      <w:numPr>
        <w:ilvl w:val="0"/>
        <w:numId w:val="0"/>
      </w:numPr>
      <w:outlineLvl w:val="8"/>
    </w:pPr>
    <w:rPr>
      <w:rFonts w:eastAsia="Aptos" w:cs="Tahoma"/>
      <w:color w:themeColor="dark1" w:themeTint="d8" w:val="272727"/>
    </w:rPr>
  </w:style>
  <w:style w:type="character" w:styleId="DefaultParagraphFont">
    <w:name w:val="Default Paragraph Font"/>
    <w:qFormat/>
    <w:rPr/>
  </w:style>
  <w:style w:type="character" w:styleId="Heading1Char">
    <w:name w:val="Heading 1 Char"/>
    <w:basedOn w:val="DefaultParagraphFont"/>
    <w:link w:val="Heading1"/>
    <w:qFormat/>
    <w:rPr>
      <w:rFonts w:ascii="Aptos Display" w:hAnsi="Aptos Display" w:eastAsia="Aptos" w:cs="Tahoma"/>
      <w:color w:themeColor="accent1" w:themeShade="bf" w:val="0F4761"/>
      <w:sz w:val="40"/>
      <w:szCs w:val="40"/>
    </w:rPr>
  </w:style>
  <w:style w:type="character" w:styleId="Heading2Char">
    <w:name w:val="Heading 2 Char"/>
    <w:basedOn w:val="DefaultParagraphFont"/>
    <w:link w:val="Heading2"/>
    <w:qFormat/>
    <w:rPr>
      <w:rFonts w:ascii="Aptos Display" w:hAnsi="Aptos Display" w:eastAsia="Aptos" w:cs="Tahoma"/>
      <w:color w:themeColor="accent1" w:themeShade="bf" w:val="0F4761"/>
      <w:sz w:val="32"/>
      <w:szCs w:val="32"/>
    </w:rPr>
  </w:style>
  <w:style w:type="character" w:styleId="Heading3Char">
    <w:name w:val="Heading 3 Char"/>
    <w:basedOn w:val="DefaultParagraphFont"/>
    <w:link w:val="Heading3"/>
    <w:qFormat/>
    <w:rPr>
      <w:rFonts w:eastAsia="Aptos" w:cs="Tahoma"/>
      <w:color w:themeColor="accent1" w:themeShade="bf" w:val="0F4761"/>
      <w:sz w:val="28"/>
      <w:szCs w:val="28"/>
    </w:rPr>
  </w:style>
  <w:style w:type="character" w:styleId="Heading4Char">
    <w:name w:val="Heading 4 Char"/>
    <w:basedOn w:val="DefaultParagraphFont"/>
    <w:link w:val="Heading4"/>
    <w:qFormat/>
    <w:rPr>
      <w:rFonts w:eastAsia="Aptos" w:cs="Tahoma"/>
      <w:i/>
      <w:iCs/>
      <w:color w:themeColor="accent1" w:themeShade="bf" w:val="0F4761"/>
    </w:rPr>
  </w:style>
  <w:style w:type="character" w:styleId="Heading5Char">
    <w:name w:val="Heading 5 Char"/>
    <w:basedOn w:val="DefaultParagraphFont"/>
    <w:link w:val="Heading5"/>
    <w:qFormat/>
    <w:rPr>
      <w:rFonts w:eastAsia="Aptos" w:cs="Tahoma"/>
      <w:color w:themeColor="accent1" w:themeShade="bf" w:val="0F4761"/>
    </w:rPr>
  </w:style>
  <w:style w:type="character" w:styleId="Heading6Char">
    <w:name w:val="Heading 6 Char"/>
    <w:basedOn w:val="DefaultParagraphFont"/>
    <w:link w:val="Heading6"/>
    <w:qFormat/>
    <w:rPr>
      <w:rFonts w:eastAsia="Aptos" w:cs="Tahoma"/>
      <w:i/>
      <w:iCs/>
      <w:color w:themeColor="dark1" w:themeTint="a6" w:val="595959"/>
    </w:rPr>
  </w:style>
  <w:style w:type="character" w:styleId="Heading7Char">
    <w:name w:val="Heading 7 Char"/>
    <w:basedOn w:val="DefaultParagraphFont"/>
    <w:link w:val="Heading7"/>
    <w:qFormat/>
    <w:rPr>
      <w:rFonts w:eastAsia="Aptos" w:cs="Tahoma"/>
      <w:color w:themeColor="dark1" w:themeTint="a6" w:val="595959"/>
    </w:rPr>
  </w:style>
  <w:style w:type="character" w:styleId="Heading8Char">
    <w:name w:val="Heading 8 Char"/>
    <w:basedOn w:val="DefaultParagraphFont"/>
    <w:link w:val="Heading8"/>
    <w:qFormat/>
    <w:rPr>
      <w:rFonts w:eastAsia="Aptos" w:cs="Tahoma"/>
      <w:i/>
      <w:iCs/>
      <w:color w:themeColor="dark1" w:themeTint="d8" w:val="272727"/>
    </w:rPr>
  </w:style>
  <w:style w:type="character" w:styleId="Heading9Char">
    <w:name w:val="Heading 9 Char"/>
    <w:basedOn w:val="DefaultParagraphFont"/>
    <w:link w:val="Heading9"/>
    <w:qFormat/>
    <w:rPr>
      <w:rFonts w:eastAsia="Aptos" w:cs="Tahoma"/>
      <w:color w:themeColor="dark1" w:themeTint="d8" w:val="272727"/>
    </w:rPr>
  </w:style>
  <w:style w:type="character" w:styleId="TitleChar">
    <w:name w:val="Title Char"/>
    <w:basedOn w:val="DefaultParagraphFont"/>
    <w:link w:val="Title"/>
    <w:qFormat/>
    <w:rPr>
      <w:rFonts w:ascii="Aptos Display" w:hAnsi="Aptos Display" w:eastAsia="Aptos" w:cs="Tahoma"/>
      <w:spacing w:val="-10"/>
      <w:kern w:val="2"/>
      <w:sz w:val="56"/>
      <w:szCs w:val="56"/>
    </w:rPr>
  </w:style>
  <w:style w:type="character" w:styleId="SubtitleChar">
    <w:name w:val="Subtitle Char"/>
    <w:basedOn w:val="DefaultParagraphFont"/>
    <w:link w:val="Subtitle"/>
    <w:qFormat/>
    <w:rPr>
      <w:rFonts w:eastAsia="Aptos" w:cs="Tahoma"/>
      <w:color w:themeColor="dark1" w:themeTint="a6" w:val="595959"/>
      <w:spacing w:val="15"/>
      <w:sz w:val="28"/>
      <w:szCs w:val="28"/>
    </w:rPr>
  </w:style>
  <w:style w:type="character" w:styleId="QuoteChar">
    <w:name w:val="Quote Char"/>
    <w:basedOn w:val="DefaultParagraphFont"/>
    <w:link w:val="Quote"/>
    <w:qFormat/>
    <w:rPr>
      <w:i/>
      <w:iCs/>
      <w:color w:themeColor="dark1" w:themeTint="bf" w:val="404040"/>
    </w:rPr>
  </w:style>
  <w:style w:type="character" w:styleId="IntenseEmphasis">
    <w:name w:val="Intense Emphasis"/>
    <w:basedOn w:val="DefaultParagraphFont"/>
    <w:qFormat/>
    <w:rPr>
      <w:i/>
      <w:iCs/>
      <w:color w:themeColor="accent1" w:themeShade="bf" w:val="0F4761"/>
    </w:rPr>
  </w:style>
  <w:style w:type="character" w:styleId="IntenseQuoteChar">
    <w:name w:val="Intense Quote Char"/>
    <w:basedOn w:val="DefaultParagraphFont"/>
    <w:link w:val="IntenseQuote"/>
    <w:qFormat/>
    <w:rPr>
      <w:i/>
      <w:iCs/>
      <w:color w:themeColor="accent1" w:themeShade="bf" w:val="0F4761"/>
    </w:rPr>
  </w:style>
  <w:style w:type="character" w:styleId="IntenseReference">
    <w:name w:val="Intense Reference"/>
    <w:basedOn w:val="DefaultParagraphFont"/>
    <w:qFormat/>
    <w:rPr>
      <w:b/>
      <w:bCs/>
      <w:smallCaps/>
      <w:color w:themeColor="accent1" w:themeShade="bf" w:val="0F4761"/>
      <w:spacing w:val="5"/>
    </w:rPr>
  </w:style>
  <w:style w:type="character" w:styleId="FooterChar">
    <w:name w:val="Footer Char"/>
    <w:basedOn w:val="DefaultParagraphFont"/>
    <w:link w:val="Footer"/>
    <w:qFormat/>
    <w:rPr/>
  </w:style>
  <w:style w:type="character" w:styleId="Hyperlink">
    <w:name w:val="Hyperlink"/>
    <w:basedOn w:val="DefaultParagraphFont"/>
    <w:rPr>
      <w:color w:themeColor="hyperlink" w:val="467886"/>
      <w:u w:val="single"/>
    </w:rPr>
  </w:style>
  <w:style w:type="character" w:styleId="PageNumber">
    <w:name w:val="page number"/>
    <w:basedOn w:val="DefaultParagraphFon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z w:val="20"/>
      <w:szCs w:val="20"/>
    </w:rPr>
  </w:style>
  <w:style w:type="character" w:styleId="HeaderChar">
    <w:name w:val="Header Char"/>
    <w:basedOn w:val="DefaultParagraphFont"/>
    <w:link w:val="Header"/>
    <w:qFormat/>
    <w:rPr/>
  </w:style>
  <w:style w:type="character" w:styleId="UnresolvedMention">
    <w:name w:val="Unresolved Mention"/>
    <w:basedOn w:val="DefaultParagraphFont"/>
    <w:qFormat/>
    <w:rPr>
      <w:color w:val="605E5C"/>
      <w:shd w:fill="E1DFDD" w:val="clear"/>
    </w:rPr>
  </w:style>
  <w:style w:type="character" w:styleId="Strong">
    <w:name w:val="Strong"/>
    <w:basedOn w:val="DefaultParagraphFont"/>
    <w:qFormat/>
    <w:rPr>
      <w:b/>
      <w:b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qFormat/>
    <w:pPr>
      <w:spacing w:before="0" w:after="80"/>
      <w:contextualSpacing/>
    </w:pPr>
    <w:rPr>
      <w:rFonts w:ascii="Aptos Display" w:hAnsi="Aptos Display" w:eastAsia="Aptos" w:cs="Tahoma"/>
      <w:spacing w:val="-10"/>
      <w:kern w:val="2"/>
      <w:sz w:val="56"/>
      <w:szCs w:val="56"/>
    </w:rPr>
  </w:style>
  <w:style w:type="paragraph" w:styleId="Subtitle">
    <w:name w:val="Subtitle"/>
    <w:basedOn w:val="Normal"/>
    <w:next w:val="Normal"/>
    <w:link w:val="SubtitleChar"/>
    <w:qFormat/>
    <w:pPr/>
    <w:rPr>
      <w:rFonts w:eastAsia="Aptos" w:cs="Tahoma"/>
      <w:color w:themeColor="dark1" w:themeTint="a6" w:val="595959"/>
      <w:spacing w:val="15"/>
      <w:sz w:val="28"/>
      <w:szCs w:val="28"/>
    </w:rPr>
  </w:style>
  <w:style w:type="paragraph" w:styleId="Quote">
    <w:name w:val="Quote"/>
    <w:basedOn w:val="Normal"/>
    <w:next w:val="Normal"/>
    <w:link w:val="QuoteChar"/>
    <w:qFormat/>
    <w:pPr>
      <w:spacing w:before="160" w:after="0"/>
      <w:jc w:val="center"/>
    </w:pPr>
    <w:rPr>
      <w:i/>
      <w:iCs/>
      <w:color w:themeColor="dark1" w:themeTint="bf" w:val="404040"/>
    </w:rPr>
  </w:style>
  <w:style w:type="paragraph" w:styleId="ListParagraph">
    <w:name w:val="List Paragraph"/>
    <w:basedOn w:val="Normal"/>
    <w:qFormat/>
    <w:pPr>
      <w:spacing w:before="0" w:after="0"/>
      <w:ind w:start="720"/>
      <w:contextualSpacing/>
    </w:pPr>
    <w:rPr/>
  </w:style>
  <w:style w:type="paragraph" w:styleId="IntenseQuote">
    <w:name w:val="Intense Quote"/>
    <w:basedOn w:val="Normal"/>
    <w:next w:val="Normal"/>
    <w:link w:val="IntenseQuoteChar"/>
    <w:qFormat/>
    <w:pPr>
      <w:pBdr>
        <w:top w:val="single" w:sz="4" w:space="10" w:color="0F4761"/>
        <w:bottom w:val="single" w:sz="4" w:space="10" w:color="0F4761"/>
      </w:pBdr>
      <w:spacing w:before="360" w:after="360"/>
      <w:ind w:start="864" w:end="864"/>
      <w:jc w:val="center"/>
    </w:pPr>
    <w:rPr>
      <w:i/>
      <w:iCs/>
      <w:color w:themeColor="accent1" w:themeShade="bf" w:val="0F4761"/>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CommentText">
    <w:name w:val="annotation text"/>
    <w:basedOn w:val="Normal"/>
    <w:link w:val="CommentTextChar"/>
    <w:pPr/>
    <w:rPr>
      <w:sz w:val="20"/>
      <w:szCs w:val="20"/>
    </w:rPr>
  </w:style>
  <w:style w:type="paragraph" w:styleId="Header">
    <w:name w:val="header"/>
    <w:basedOn w:val="Normal"/>
    <w:link w:val="HeaderChar"/>
    <w:pPr>
      <w:tabs>
        <w:tab w:val="clear" w:pos="720"/>
        <w:tab w:val="center" w:pos="4680" w:leader="none"/>
        <w:tab w:val="right" w:pos="9360" w:leader="none"/>
      </w:tabs>
    </w:pPr>
    <w:rPr/>
  </w:style>
  <w:style w:type="paragraph" w:styleId="NormalWeb">
    <w:name w:val="Normal (Web)"/>
    <w:basedOn w:val="Normal"/>
    <w:qFormat/>
    <w:pPr>
      <w:spacing w:before="280" w:after="280"/>
    </w:pPr>
    <w:rPr>
      <w:rFonts w:ascii="Times New Roman" w:hAnsi="Times New Roman" w:eastAsia="Times New Roman" w:cs="Times New Roman"/>
      <w:kern w:val="0"/>
    </w:rPr>
  </w:style>
  <w:style w:type="paragraph" w:styleId="indent-2">
    <w:name w:val="indent-2"/>
    <w:basedOn w:val="Normal"/>
    <w:qFormat/>
    <w:pPr>
      <w:spacing w:before="280" w:after="280"/>
    </w:pPr>
    <w:rPr>
      <w:rFonts w:ascii="Times New Roman" w:hAnsi="Times New Roman" w:eastAsia="Times New Roman" w:cs="Times New Roman"/>
      <w:kern w:val="0"/>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15</Pages>
  <Words>4034</Words>
  <Characters>20989</Characters>
  <CharactersWithSpaces>24771</CharactersWithSpaces>
  <Paragraphs>223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2024-10-15T15:09:00Z</dcterms:created>
  <dc:creator>eForms</dc:creator>
  <dc:description/>
  <dc:language>en-IN</dc:language>
  <cp:lastModifiedBy>Hansel Pupo</cp:lastModifiedBy>
  <dcterms:modified xsi:type="dcterms:W3CDTF">2024-10-15T15:09:00Z</dcterms:modified>
  <cp:revision>2</cp:revision>
  <dc:subject/>
  <dc:title>Vermont Standard Residential Lease Agreement</dc:title>
</cp:coreProperties>
</file>

<file path=docProps/custom.xml><?xml version="1.0" encoding="utf-8"?>
<Properties xmlns="http://schemas.openxmlformats.org/officeDocument/2006/custom-properties" xmlns:vt="http://schemas.openxmlformats.org/officeDocument/2006/docPropsVTypes"/>
</file>