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jc w:val="center"/>
        <w:rPr>
          <w:rFonts w:ascii="Arial" w:hAnsi="Arial" w:cs="Arial"/>
          <w:b/>
          <w:bCs/>
          <w:sz w:val="32"/>
          <w:szCs w:val="32"/>
        </w:rPr>
      </w:pPr>
      <w:r>
        <w:rPr>
          <w:rFonts w:cs="Arial"/>
          <w:b/>
          <w:bCs/>
          <w:sz w:val="24"/>
          <w:szCs w:val="32"/>
        </w:rPr>
        <w:t>OKLAHOMA RESIDENTIAL PURCHASE AGREEMENT</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THE PARTIES</w:t>
      </w:r>
      <w:r>
        <w:rPr>
          <w:rFonts w:cs="Arial"/>
          <w:sz w:val="24"/>
        </w:rPr>
        <w:t xml:space="preserve">. This Oklahoma Real Estate Purchase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(“Effective Date”) between: </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u w:val="single"/>
        </w:rPr>
        <w:t>Buyer</w:t>
      </w:r>
      <w:r>
        <w:rPr>
          <w:rFonts w:cs="Arial"/>
          <w:sz w:val="24"/>
        </w:rPr>
        <w:t xml:space="preserve">: </w:t>
      </w:r>
      <w:r>
        <w:fldChar w:fldCharType="begin">
          <w:ffData>
            <w:name w:val="Text2"/>
            <w:enabled/>
            <w:calcOnExit w:val="0"/>
            <w:textInput>
              <w:default w:val="[BUYER'S NAME]"/>
            </w:textInput>
          </w:ffData>
        </w:fldChar>
      </w:r>
      <w:r>
        <w:rPr/>
        <w:instrText xml:space="preserve"> FORMTEXT </w:instrText>
      </w:r>
      <w:bookmarkStart w:id="1" w:name="Text2_Copy_1"/>
      <w:r>
        <w:rPr/>
      </w:r>
      <w:r>
        <w:rPr/>
        <w:fldChar w:fldCharType="separate"/>
      </w:r>
      <w:r>
        <w:rPr/>
      </w:r>
      <w:r>
        <w:rPr>
          <w:rFonts w:cs="Arial"/>
          <w:sz w:val="24"/>
        </w:rPr>
        <w:t>[BUYER'S NAME]</w:t>
      </w:r>
      <w:r>
        <w:rPr/>
      </w:r>
      <w:r>
        <w:rPr/>
        <w:fldChar w:fldCharType="end"/>
      </w:r>
      <w:bookmarkEnd w:id="1"/>
      <w:r>
        <w:rPr>
          <w:rFonts w:cs="Arial"/>
          <w:sz w:val="24"/>
        </w:rPr>
        <w:t xml:space="preserve">, with a mailing address of </w:t>
      </w:r>
      <w:r>
        <w:fldChar w:fldCharType="begin">
          <w:ffData>
            <w:name w:val="Text3"/>
            <w:enabled/>
            <w:calcOnExit w:val="0"/>
            <w:textInput>
              <w:default w:val="[MAILING ADDRESS]"/>
            </w:textInput>
          </w:ffData>
        </w:fldChar>
      </w:r>
      <w:r>
        <w:rPr/>
        <w:instrText xml:space="preserve"> FORMTEXT </w:instrText>
      </w:r>
      <w:bookmarkStart w:id="2" w:name="Text3_Copy_1"/>
      <w:r>
        <w:rPr/>
      </w:r>
      <w:r>
        <w:rPr/>
        <w:fldChar w:fldCharType="separate"/>
      </w:r>
      <w:r>
        <w:rPr/>
      </w:r>
      <w:r>
        <w:rPr>
          <w:rFonts w:cs="Arial"/>
          <w:sz w:val="24"/>
        </w:rPr>
        <w:t>[MAILING ADDRESS]</w:t>
      </w:r>
      <w:r>
        <w:rPr/>
      </w:r>
      <w:r>
        <w:rPr/>
        <w:fldChar w:fldCharType="end"/>
      </w:r>
      <w:bookmarkEnd w:id="2"/>
      <w:r>
        <w:rPr>
          <w:rFonts w:cs="Arial"/>
          <w:sz w:val="24"/>
        </w:rPr>
        <w:t xml:space="preserve"> (“Buyer”), who agrees to buy, and:</w:t>
      </w:r>
    </w:p>
    <w:p>
      <w:pPr>
        <w:pStyle w:val="Normal"/>
        <w:tabs>
          <w:tab w:val="clear" w:pos="720"/>
          <w:tab w:val="left" w:pos="502" w:leader="none"/>
          <w:tab w:val="right" w:pos="10621" w:leader="underscore"/>
        </w:tabs>
        <w:ind w:start="900"/>
        <w:rPr>
          <w:rFonts w:ascii="Arial" w:hAnsi="Arial" w:cs="Arial"/>
          <w:u w:val="single"/>
        </w:rPr>
      </w:pPr>
      <w:r>
        <w:rPr>
          <w:rFonts w:cs="Arial" w:ascii="Arial" w:hAnsi="Arial"/>
          <w:u w:val="single"/>
        </w:rPr>
      </w:r>
    </w:p>
    <w:p>
      <w:pPr>
        <w:pStyle w:val="Normal"/>
        <w:tabs>
          <w:tab w:val="clear" w:pos="720"/>
          <w:tab w:val="left" w:pos="502" w:leader="none"/>
          <w:tab w:val="right" w:pos="10621" w:leader="underscore"/>
        </w:tabs>
        <w:ind w:start="900"/>
        <w:rPr>
          <w:rFonts w:ascii="Arial" w:hAnsi="Arial" w:cs="Arial"/>
        </w:rPr>
      </w:pPr>
      <w:r>
        <w:rPr>
          <w:rFonts w:cs="Arial"/>
          <w:sz w:val="24"/>
          <w:u w:val="single"/>
        </w:rPr>
        <w:t>Seller</w:t>
      </w:r>
      <w:r>
        <w:rPr>
          <w:rFonts w:cs="Arial"/>
          <w:sz w:val="24"/>
        </w:rPr>
        <w:t xml:space="preserve">: </w:t>
      </w:r>
      <w:r>
        <w:fldChar w:fldCharType="begin">
          <w:ffData>
            <w:name w:val="Text4"/>
            <w:enabled/>
            <w:calcOnExit w:val="0"/>
            <w:textInput>
              <w:default w:val="[SELLER'S NAME]"/>
            </w:textInput>
          </w:ffData>
        </w:fldChar>
      </w:r>
      <w:r>
        <w:rPr/>
        <w:instrText xml:space="preserve"> FORMTEXT </w:instrText>
      </w:r>
      <w:bookmarkStart w:id="3" w:name="Text4_Copy_1"/>
      <w:r>
        <w:rPr/>
      </w:r>
      <w:r>
        <w:rPr/>
        <w:fldChar w:fldCharType="separate"/>
      </w:r>
      <w:r>
        <w:rPr/>
      </w:r>
      <w:r>
        <w:rPr>
          <w:rFonts w:cs="Arial"/>
          <w:sz w:val="24"/>
        </w:rPr>
        <w:t>[SELLER'S NAME]</w:t>
      </w:r>
      <w:r>
        <w:rPr/>
      </w:r>
      <w:r>
        <w:rPr/>
        <w:fldChar w:fldCharType="end"/>
      </w:r>
      <w:bookmarkEnd w:id="3"/>
      <w:r>
        <w:rPr>
          <w:rFonts w:cs="Arial"/>
          <w:sz w:val="24"/>
        </w:rPr>
        <w:t xml:space="preserve"> with a mailing address of </w:t>
      </w:r>
      <w:r>
        <w:fldChar w:fldCharType="begin">
          <w:ffData>
            <w:name w:val="Text3 Copy 2"/>
            <w:enabled/>
            <w:calcOnExit w:val="0"/>
            <w:textInput>
              <w:default w:val="[MAILING ADDRESS]"/>
            </w:textInput>
          </w:ffData>
        </w:fldChar>
      </w:r>
      <w:r>
        <w:rPr/>
        <w:instrText xml:space="preserve"> FORMTEXT </w:instrText>
      </w:r>
      <w:r>
        <w:rPr/>
      </w:r>
      <w:r>
        <w:rPr/>
        <w:fldChar w:fldCharType="separate"/>
      </w:r>
      <w:r>
        <w:rPr/>
      </w:r>
      <w:r>
        <w:rPr>
          <w:rFonts w:cs="Arial"/>
          <w:sz w:val="24"/>
        </w:rPr>
        <w:t>[MAILING ADDRESS]</w:t>
      </w:r>
      <w:r>
        <w:rPr/>
      </w:r>
      <w:r>
        <w:rPr/>
        <w:fldChar w:fldCharType="end"/>
      </w:r>
      <w:r>
        <w:rPr>
          <w:rFonts w:cs="Arial"/>
          <w:sz w:val="24"/>
        </w:rPr>
        <w:t xml:space="preserve"> (“Seller”), who agrees to sell and convey real and personal property as described in Sections II &amp; III.</w:t>
      </w:r>
    </w:p>
    <w:p>
      <w:pPr>
        <w:pStyle w:val="Normal"/>
        <w:tabs>
          <w:tab w:val="clear" w:pos="720"/>
          <w:tab w:val="left" w:pos="502" w:leader="none"/>
          <w:tab w:val="right" w:pos="10621" w:leader="underscore"/>
        </w:tabs>
        <w:ind w:start="900"/>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rPr>
        <w:t>Buyer and Seller are each referred to herein as a “Party” and, collectively, as the "Parties."</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LEGAL DESCRIPTION</w:t>
      </w:r>
      <w:r>
        <w:rPr>
          <w:rFonts w:cs="Arial"/>
          <w:sz w:val="24"/>
        </w:rPr>
        <w:t>. The</w:t>
      </w:r>
      <w:r>
        <w:rPr>
          <w:rFonts w:cs="Arial"/>
          <w:bCs/>
          <w:sz w:val="24"/>
        </w:rPr>
        <w:t xml:space="preserve"> real property is a: (check one) </w:t>
      </w:r>
    </w:p>
    <w:p>
      <w:pPr>
        <w:pStyle w:val="Normal"/>
        <w:tabs>
          <w:tab w:val="clear" w:pos="720"/>
          <w:tab w:val="left" w:pos="502" w:leader="none"/>
          <w:tab w:val="right" w:pos="10621" w:leader="underscore"/>
        </w:tabs>
        <w:ind w:start="144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Single-Family Home</w:t>
      </w:r>
    </w:p>
    <w:p>
      <w:pPr>
        <w:pStyle w:val="Normal"/>
        <w:tabs>
          <w:tab w:val="clear" w:pos="720"/>
          <w:tab w:val="left" w:pos="502" w:leader="none"/>
          <w:tab w:val="right" w:pos="10621" w:leader="underscore"/>
        </w:tabs>
        <w:ind w:start="1440"/>
        <w:rPr>
          <w:rFonts w:ascii="Arial" w:hAnsi="Arial" w:cs="Arial"/>
        </w:rPr>
      </w:pPr>
      <w:sdt>
        <w:sdtPr>
          <w:id w:val="13997078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Condominium </w:t>
      </w:r>
    </w:p>
    <w:p>
      <w:pPr>
        <w:pStyle w:val="Normal"/>
        <w:tabs>
          <w:tab w:val="clear" w:pos="720"/>
          <w:tab w:val="left" w:pos="502" w:leader="none"/>
          <w:tab w:val="right" w:pos="10621" w:leader="underscore"/>
        </w:tabs>
        <w:ind w:start="1440"/>
        <w:rPr>
          <w:rFonts w:ascii="Arial" w:hAnsi="Arial" w:cs="Arial"/>
        </w:rPr>
      </w:pPr>
      <w:sdt>
        <w:sdtPr>
          <w:id w:val="19845849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Planned Unit Development (PUD) </w:t>
      </w:r>
    </w:p>
    <w:p>
      <w:pPr>
        <w:pStyle w:val="Normal"/>
        <w:tabs>
          <w:tab w:val="clear" w:pos="720"/>
          <w:tab w:val="left" w:pos="502" w:leader="none"/>
          <w:tab w:val="right" w:pos="10621" w:leader="underscore"/>
        </w:tabs>
        <w:ind w:start="1440"/>
        <w:rPr>
          <w:rFonts w:ascii="Arial" w:hAnsi="Arial" w:cs="Arial"/>
        </w:rPr>
      </w:pPr>
      <w:sdt>
        <w:sdtPr>
          <w:id w:val="13136866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Duplex </w:t>
      </w:r>
    </w:p>
    <w:p>
      <w:pPr>
        <w:pStyle w:val="Normal"/>
        <w:tabs>
          <w:tab w:val="clear" w:pos="720"/>
          <w:tab w:val="left" w:pos="502" w:leader="none"/>
          <w:tab w:val="right" w:pos="10621" w:leader="underscore"/>
        </w:tabs>
        <w:ind w:start="1440"/>
        <w:rPr>
          <w:rFonts w:ascii="Arial" w:hAnsi="Arial" w:cs="Arial"/>
        </w:rPr>
      </w:pPr>
      <w:sdt>
        <w:sdtPr>
          <w:id w:val="-1389726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Triplex </w:t>
      </w:r>
    </w:p>
    <w:p>
      <w:pPr>
        <w:pStyle w:val="Normal"/>
        <w:tabs>
          <w:tab w:val="clear" w:pos="720"/>
          <w:tab w:val="left" w:pos="502" w:leader="none"/>
          <w:tab w:val="right" w:pos="10621" w:leader="underscore"/>
        </w:tabs>
        <w:ind w:start="1440"/>
        <w:rPr>
          <w:rFonts w:ascii="Arial" w:hAnsi="Arial" w:cs="Arial"/>
        </w:rPr>
      </w:pPr>
      <w:sdt>
        <w:sdtPr>
          <w:id w:val="611631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Fourplex</w:t>
      </w:r>
    </w:p>
    <w:p>
      <w:pPr>
        <w:pStyle w:val="Normal"/>
        <w:tabs>
          <w:tab w:val="clear" w:pos="720"/>
          <w:tab w:val="left" w:pos="502" w:leader="none"/>
          <w:tab w:val="right" w:pos="10621" w:leader="underscore"/>
        </w:tabs>
        <w:ind w:start="1440"/>
        <w:rPr>
          <w:rFonts w:ascii="Arial" w:hAnsi="Arial" w:cs="Arial"/>
        </w:rPr>
      </w:pPr>
      <w:sdt>
        <w:sdtPr>
          <w:id w:val="-14819931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w:t>
      </w:r>
    </w:p>
    <w:p>
      <w:pPr>
        <w:pStyle w:val="Normal"/>
        <w:tabs>
          <w:tab w:val="clear" w:pos="720"/>
          <w:tab w:val="left" w:pos="502" w:leader="none"/>
          <w:tab w:val="right" w:pos="10621" w:leader="underscore"/>
        </w:tabs>
        <w:ind w:start="720"/>
        <w:rPr>
          <w:rFonts w:ascii="Arial" w:hAnsi="Arial" w:cs="Arial"/>
        </w:rPr>
      </w:pPr>
      <w:r>
        <w:rPr>
          <w:rFonts w:cs="Arial" w:ascii="Arial" w:hAnsi="Arial"/>
        </w:rPr>
      </w:r>
    </w:p>
    <w:p>
      <w:pPr>
        <w:pStyle w:val="Normal"/>
        <w:tabs>
          <w:tab w:val="clear" w:pos="720"/>
          <w:tab w:val="left" w:pos="502" w:leader="none"/>
          <w:tab w:val="right" w:pos="10621" w:leader="underscore"/>
        </w:tabs>
        <w:ind w:start="1440"/>
        <w:rPr>
          <w:rFonts w:ascii="Arial" w:hAnsi="Arial" w:cs="Arial"/>
        </w:rPr>
      </w:pPr>
      <w:r>
        <w:rPr>
          <w:rFonts w:cs="Arial"/>
          <w:sz w:val="24"/>
        </w:rPr>
        <w:t xml:space="preserve">Street Address: </w:t>
      </w:r>
      <w:r>
        <w:fldChar w:fldCharType="begin">
          <w:ffData>
            <w:name w:val="Bookmark Copy 1"/>
            <w:enabled/>
            <w:calcOnExit w:val="0"/>
            <w:textInput>
              <w:default w:val="[PROPERTY ADDRESS]"/>
            </w:textInput>
          </w:ffData>
        </w:fldChar>
      </w:r>
      <w:r>
        <w:rPr/>
        <w:instrText xml:space="preserve"> FORMTEXT </w:instrText>
      </w:r>
      <w:r>
        <w:rPr/>
      </w:r>
      <w:r>
        <w:rPr/>
        <w:fldChar w:fldCharType="separate"/>
      </w:r>
      <w:r>
        <w:rPr/>
      </w:r>
      <w:r>
        <w:rPr>
          <w:rFonts w:cs="Arial"/>
          <w:sz w:val="24"/>
        </w:rPr>
        <w:t>[PROPERTY ADDRESS]</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Tax Parcel Information: </w:t>
      </w:r>
      <w:r>
        <w:fldChar w:fldCharType="begin">
          <w:ffData>
            <w:name w:val="Bookmark Copy 2"/>
            <w:enabled/>
            <w:calcOnExit w:val="0"/>
            <w:textInput>
              <w:default w:val="[TAX PARCEL INFORMATION]"/>
            </w:textInput>
          </w:ffData>
        </w:fldChar>
      </w:r>
      <w:r>
        <w:rPr/>
        <w:instrText xml:space="preserve"> FORMTEXT </w:instrText>
      </w:r>
      <w:r>
        <w:rPr/>
      </w:r>
      <w:r>
        <w:rPr/>
        <w:fldChar w:fldCharType="separate"/>
      </w:r>
      <w:r>
        <w:rPr/>
      </w:r>
      <w:r>
        <w:rPr>
          <w:rFonts w:cs="Arial"/>
          <w:sz w:val="24"/>
        </w:rPr>
        <w:t>[TAX PARCEL INFORMATION]</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Other Description: </w:t>
      </w:r>
      <w:r>
        <w:fldChar w:fldCharType="begin">
          <w:ffData>
            <w:name w:val="Bookmark Copy 3"/>
            <w:enabled/>
            <w:calcOnExit w:val="0"/>
            <w:textInput>
              <w:default w:val="[OTHER DESCRIPTION]"/>
            </w:textInput>
          </w:ffData>
        </w:fldChar>
      </w:r>
      <w:r>
        <w:rPr/>
        <w:instrText xml:space="preserve"> FORMTEXT </w:instrText>
      </w:r>
      <w:r>
        <w:rPr/>
      </w:r>
      <w:r>
        <w:rPr/>
        <w:fldChar w:fldCharType="separate"/>
      </w:r>
      <w:r>
        <w:rPr/>
      </w:r>
      <w:r>
        <w:rPr>
          <w:rFonts w:cs="Arial"/>
          <w:sz w:val="24"/>
        </w:rPr>
        <w:t>[OTHER DESCRIPTION]</w:t>
      </w:r>
      <w:r/>
      <w:r>
        <w:rPr/>
        <w:fldChar w:fldCharType="end"/>
      </w:r>
      <w:r>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PERSONAL PROPERTY</w:t>
      </w:r>
      <w:r>
        <w:rPr>
          <w:rFonts w:cs="Arial"/>
          <w:spacing w:val="2"/>
          <w:sz w:val="24"/>
        </w:rPr>
        <w:t xml:space="preserve">. In addition to the real property described in Section II, the Seller shall include the following personal property: </w:t>
      </w:r>
      <w:r>
        <w:fldChar w:fldCharType="begin">
          <w:ffData>
            <w:name w:val="Bookmark Copy 4"/>
            <w:enabled/>
            <w:calcOnExit w:val="0"/>
            <w:textInput>
              <w:default w:val="[PERSONAL PROPERTY]"/>
            </w:textInput>
          </w:ffData>
        </w:fldChar>
      </w:r>
      <w:r>
        <w:rPr/>
        <w:instrText xml:space="preserve"> FORMTEXT </w:instrText>
      </w:r>
      <w:r>
        <w:rPr/>
      </w:r>
      <w:r>
        <w:rPr/>
        <w:fldChar w:fldCharType="separate"/>
      </w:r>
      <w:r>
        <w:rPr/>
      </w:r>
      <w:r>
        <w:rPr>
          <w:rFonts w:cs="Arial"/>
          <w:sz w:val="24"/>
        </w:rPr>
        <w:t>[PERSONAL PROPERTY]</w:t>
      </w:r>
      <w:r/>
      <w:r>
        <w:rPr/>
        <w:fldChar w:fldCharType="end"/>
      </w:r>
      <w:r>
        <w:rPr/>
      </w:r>
    </w:p>
    <w:p>
      <w:pPr>
        <w:pStyle w:val="Normal"/>
        <w:rPr>
          <w:rFonts w:ascii="Arial" w:hAnsi="Arial" w:cs="Arial"/>
          <w:b/>
          <w:spacing w:val="2"/>
        </w:rPr>
      </w:pPr>
      <w:r>
        <w:rPr>
          <w:rFonts w:cs="Arial" w:ascii="Arial" w:hAnsi="Arial"/>
          <w:b/>
          <w:spacing w:val="2"/>
        </w:rPr>
      </w:r>
    </w:p>
    <w:p>
      <w:pPr>
        <w:pStyle w:val="Normal"/>
        <w:ind w:start="900"/>
        <w:rPr>
          <w:rFonts w:ascii="Arial" w:hAnsi="Arial" w:cs="Arial"/>
        </w:rPr>
      </w:pPr>
      <w:r>
        <w:rPr>
          <w:rFonts w:cs="Arial"/>
          <w:sz w:val="24"/>
        </w:rPr>
        <w:t>The described real property in Section II and personal property in Section III shall be collectively known as the “Property.”</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EARNEST MONEY</w:t>
      </w:r>
      <w:r>
        <w:rPr>
          <w:rFonts w:cs="Arial"/>
          <w:sz w:val="24"/>
        </w:rPr>
        <w:t>. After acceptance by all Parties, the Buyer agrees to make a payment in the amount of $</w:t>
      </w:r>
      <w:r>
        <w:fldChar w:fldCharType="begin">
          <w:ffData>
            <w:name w:val="Bookmark Copy 5"/>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xml:space="preserve"> as consideration by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6"/>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11856648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9624246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17783285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3401239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Governing Law. </w:t>
      </w:r>
    </w:p>
    <w:p>
      <w:pPr>
        <w:pStyle w:val="Normal"/>
        <w:rPr>
          <w:rFonts w:ascii="Arial" w:hAnsi="Arial" w:cs="Arial"/>
          <w:b/>
          <w:bCs/>
        </w:rPr>
      </w:pPr>
      <w:r>
        <w:rPr>
          <w:rFonts w:cs="Arial" w:ascii="Arial" w:hAnsi="Arial"/>
          <w:b/>
          <w:bCs/>
        </w:rPr>
      </w:r>
    </w:p>
    <w:p>
      <w:pPr>
        <w:pStyle w:val="ListParagraph"/>
        <w:numPr>
          <w:ilvl w:val="0"/>
          <w:numId w:val="4"/>
        </w:numPr>
        <w:ind w:hanging="900" w:start="900"/>
        <w:rPr>
          <w:rFonts w:ascii="Arial" w:hAnsi="Arial" w:cs="Arial"/>
        </w:rPr>
      </w:pPr>
      <w:r>
        <w:rPr>
          <w:rFonts w:cs="Arial"/>
          <w:b/>
          <w:bCs/>
          <w:sz w:val="24"/>
        </w:rPr>
        <w:t>PURCHASE PRICE &amp; TERMS</w:t>
      </w:r>
      <w:r>
        <w:rPr>
          <w:rFonts w:cs="Arial"/>
          <w:sz w:val="24"/>
        </w:rPr>
        <w:t xml:space="preserve">. The Buyer agrees to purchase the Property by payment of </w:t>
      </w:r>
      <w:r>
        <w:fldChar w:fldCharType="begin">
          <w:ffData>
            <w:name w:val="Bookmark Copy 7"/>
            <w:enabled/>
            <w:calcOnExit w:val="0"/>
            <w:textInput>
              <w:default w:val="[PRICE IN TEXT]"/>
            </w:textInput>
          </w:ffData>
        </w:fldChar>
      </w:r>
      <w:r>
        <w:rPr/>
        <w:instrText xml:space="preserve"> FORMTEXT </w:instrText>
      </w:r>
      <w:r>
        <w:rPr/>
      </w:r>
      <w:r>
        <w:rPr/>
        <w:fldChar w:fldCharType="separate"/>
      </w:r>
      <w:r>
        <w:rPr/>
      </w:r>
      <w:r>
        <w:rPr>
          <w:rFonts w:cs="Arial"/>
          <w:sz w:val="24"/>
        </w:rPr>
        <w:t>[PRICE IN TEXT]</w:t>
      </w:r>
      <w:r>
        <w:rPr/>
      </w:r>
      <w:r>
        <w:rPr/>
        <w:fldChar w:fldCharType="end"/>
      </w:r>
      <w:r>
        <w:rPr>
          <w:rFonts w:cs="Arial"/>
          <w:sz w:val="24"/>
        </w:rPr>
        <w:t xml:space="preserve"> US Dollars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as follows: (check one)</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452816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w:t>
      </w:r>
      <w:r>
        <w:fldChar w:fldCharType="begin">
          <w:ffData>
            <w:name w:val="Text1 Copy 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7217910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7772999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business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 </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9823497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 (check one)</w:t>
      </w:r>
    </w:p>
    <w:p>
      <w:pPr>
        <w:pStyle w:val="Normal"/>
        <w:ind w:firstLine="720" w:start="1440"/>
        <w:rPr>
          <w:rFonts w:ascii="Arial" w:hAnsi="Arial" w:cs="Arial"/>
        </w:rPr>
      </w:pPr>
      <w:sdt>
        <w:sdtPr>
          <w:id w:val="4242332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Conventional Loan</w:t>
      </w:r>
    </w:p>
    <w:p>
      <w:pPr>
        <w:pStyle w:val="Normal"/>
        <w:ind w:firstLine="720" w:start="1440"/>
        <w:rPr>
          <w:rFonts w:ascii="Arial" w:hAnsi="Arial" w:cs="Arial"/>
        </w:rPr>
      </w:pPr>
      <w:sdt>
        <w:sdtPr>
          <w:id w:val="-615291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FHA Loan (Attach Required Addendums)</w:t>
      </w:r>
    </w:p>
    <w:p>
      <w:pPr>
        <w:pStyle w:val="Normal"/>
        <w:ind w:firstLine="720" w:start="1440"/>
        <w:rPr>
          <w:rFonts w:ascii="Arial" w:hAnsi="Arial" w:cs="Arial"/>
        </w:rPr>
      </w:pPr>
      <w:sdt>
        <w:sdtPr>
          <w:id w:val="-3225903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VA Loan (Attach Required Addendums)</w:t>
      </w:r>
    </w:p>
    <w:p>
      <w:pPr>
        <w:pStyle w:val="Normal"/>
        <w:ind w:firstLine="720" w:start="1440"/>
        <w:rPr>
          <w:rFonts w:ascii="Arial" w:hAnsi="Arial" w:cs="Arial"/>
        </w:rPr>
      </w:pPr>
      <w:sdt>
        <w:sdtPr>
          <w:id w:val="-2888249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Copy 10"/>
            <w:enabled/>
            <w:calcOnExit w:val="0"/>
            <w:textInput>
              <w:default w:val="[OTHER]"/>
            </w:textInput>
          </w:ffData>
        </w:fldChar>
      </w:r>
      <w:r>
        <w:rPr/>
        <w:instrText xml:space="preserve"> FORMTEXT </w:instrText>
      </w:r>
      <w:r>
        <w:rPr/>
      </w:r>
      <w:r>
        <w:rPr/>
        <w:fldChar w:fldCharType="separate"/>
      </w:r>
      <w:r>
        <w:rPr/>
      </w:r>
      <w:r>
        <w:rPr>
          <w:rFonts w:cs="Arial"/>
          <w:sz w:val="24"/>
        </w:rPr>
        <w:t>[OTHER]</w:t>
      </w:r>
      <w:r/>
      <w:r>
        <w:rPr/>
        <w:fldChar w:fldCharType="end"/>
      </w:r>
      <w:r>
        <w:rPr/>
      </w:r>
    </w:p>
    <w:p>
      <w:pPr>
        <w:pStyle w:val="Normal"/>
        <w:ind w:firstLine="720" w:start="1440"/>
        <w:rPr>
          <w:rFonts w:ascii="Arial" w:hAnsi="Arial" w:cs="Arial"/>
        </w:rPr>
      </w:pPr>
      <w:r>
        <w:rPr>
          <w:rFonts w:cs="Arial" w:ascii="Arial" w:hAnsi="Arial"/>
        </w:rPr>
      </w:r>
    </w:p>
    <w:p>
      <w:pPr>
        <w:pStyle w:val="ListParagraph"/>
        <w:numPr>
          <w:ilvl w:val="0"/>
          <w:numId w:val="1"/>
        </w:numPr>
        <w:ind w:hanging="360" w:start="2520"/>
        <w:rPr>
          <w:rFonts w:ascii="Arial" w:hAnsi="Arial" w:cs="Arial"/>
        </w:rPr>
      </w:pPr>
      <w:r>
        <w:rPr>
          <w:rFonts w:cs="Arial"/>
          <w:sz w:val="24"/>
        </w:rPr>
        <w:t xml:space="preserve">In addition, Buyer agrees, within a reasonable time, to make a good faith loan application with a credible financial institution; </w:t>
      </w:r>
    </w:p>
    <w:p>
      <w:pPr>
        <w:pStyle w:val="ListParagraph"/>
        <w:numPr>
          <w:ilvl w:val="0"/>
          <w:numId w:val="1"/>
        </w:numPr>
        <w:ind w:hanging="360" w:start="2520"/>
        <w:rPr>
          <w:rFonts w:ascii="Arial" w:hAnsi="Arial" w:cs="Arial"/>
        </w:rPr>
      </w:pPr>
      <w:r>
        <w:rPr>
          <w:rFonts w:cs="Arial"/>
          <w:sz w:val="24"/>
        </w:rPr>
        <w:t>If Buyer does not reveal a fact of contingency to the lender and this purchase does not record because of such nondisclosure after initial application, the Buyer shall be in default;</w:t>
      </w:r>
    </w:p>
    <w:p>
      <w:pPr>
        <w:pStyle w:val="ListParagraph"/>
        <w:numPr>
          <w:ilvl w:val="0"/>
          <w:numId w:val="1"/>
        </w:numPr>
        <w:ind w:hanging="360" w:start="2520"/>
        <w:rPr>
          <w:rFonts w:ascii="Arial" w:hAnsi="Arial" w:cs="Arial"/>
        </w:rPr>
      </w:pPr>
      <w:r>
        <w:rPr>
          <w:rFonts w:cs="Arial"/>
          <w:sz w:val="24"/>
        </w:rPr>
        <w:t xml:space="preserve">On or before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Buyer will provide the Seller a letter from a credible financial institution verifying a satisfactory credit report, acceptable income, source of down payment, availability of funds to close, and that the loan approval </w:t>
      </w:r>
      <w:sdt>
        <w:sdtPr>
          <w:id w:val="5142053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6785737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ListParagraph"/>
        <w:numPr>
          <w:ilvl w:val="0"/>
          <w:numId w:val="1"/>
        </w:numPr>
        <w:ind w:hanging="360" w:start="2520"/>
        <w:rPr>
          <w:rFonts w:ascii="Arial" w:hAnsi="Arial" w:cs="Arial"/>
        </w:rPr>
      </w:pPr>
      <w:r>
        <w:rPr>
          <w:rFonts w:cs="Arial"/>
          <w:sz w:val="24"/>
        </w:rPr>
        <w:t xml:space="preserve">In the event the Buyer fails to produce the aforementioned letter or other acceptable verification by the date above in Section V(c), this Agreement may be terminated at the election of the Seller with written notice provided to the Buyer within </w:t>
      </w:r>
      <w:r>
        <w:fldChar w:fldCharType="begin">
          <w:ffData>
            <w:name w:val="Bookmark Copy 1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said date; </w:t>
      </w:r>
    </w:p>
    <w:p>
      <w:pPr>
        <w:pStyle w:val="ListParagraph"/>
        <w:numPr>
          <w:ilvl w:val="0"/>
          <w:numId w:val="1"/>
        </w:numPr>
        <w:ind w:hanging="360" w:start="2520"/>
        <w:rPr>
          <w:rFonts w:ascii="Arial" w:hAnsi="Arial" w:cs="Arial"/>
        </w:rPr>
      </w:pPr>
      <w:r>
        <w:rPr>
          <w:rFonts w:cs="Arial"/>
          <w:sz w:val="24"/>
        </w:rPr>
        <w:t>Buyer must obtain Seller’s approval, in writing, to any change to the letter described in Section V(c) regarding the financial institution, type of financing, or allocation of closing costs; and</w:t>
      </w:r>
    </w:p>
    <w:p>
      <w:pPr>
        <w:pStyle w:val="ListParagraph"/>
        <w:numPr>
          <w:ilvl w:val="0"/>
          <w:numId w:val="1"/>
        </w:numPr>
        <w:ind w:hanging="360" w:start="2520"/>
        <w:rPr>
          <w:rFonts w:ascii="Arial" w:hAnsi="Arial" w:cs="Arial"/>
        </w:rPr>
      </w:pPr>
      <w:r>
        <w:rPr>
          <w:rFonts w:cs="Arial"/>
          <w:sz w:val="24"/>
        </w:rPr>
        <w:t xml:space="preserve">Buyer agrees to pay all fees and satisfy all conditions, in a timely manner, required by the financial institution for processing of the loan application. Buyer agrees the interest rate offered by lender or the availability of any financing program is not a contingency of this Agreement, so long as Buyer qualifies for the financing herein agreed. Availability of any financing program may change at any time. Any licensed real estate agent hired by either </w:t>
      </w:r>
      <w:r>
        <w:rPr>
          <w:rFonts w:cs="Arial"/>
          <w:spacing w:val="2"/>
          <w:sz w:val="24"/>
        </w:rPr>
        <w:t xml:space="preserve">Party </w:t>
      </w:r>
      <w:r>
        <w:rPr>
          <w:rFonts w:cs="Arial"/>
          <w:sz w:val="24"/>
        </w:rPr>
        <w:t>is not responsible for representations or guarantees as to the availability of any loans, project and/or property approvals or interest rates.</w:t>
      </w:r>
    </w:p>
    <w:p>
      <w:pPr>
        <w:pStyle w:val="ListParagraph"/>
        <w:ind w:start="2520"/>
        <w:rPr>
          <w:rFonts w:ascii="Arial" w:hAnsi="Arial" w:cs="Arial"/>
        </w:rPr>
      </w:pPr>
      <w:r>
        <w:rPr>
          <w:rFonts w:cs="Arial" w:ascii="Arial" w:hAnsi="Arial"/>
        </w:rPr>
      </w:r>
    </w:p>
    <w:p>
      <w:pPr>
        <w:pStyle w:val="Normal"/>
        <w:ind w:start="1440"/>
        <w:rPr>
          <w:rFonts w:ascii="Arial" w:hAnsi="Arial" w:cs="Arial"/>
        </w:rPr>
      </w:pPr>
      <w:sdt>
        <w:sdtPr>
          <w:id w:val="-980306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ListParagraph"/>
        <w:numPr>
          <w:ilvl w:val="0"/>
          <w:numId w:val="2"/>
        </w:numPr>
        <w:ind w:hanging="360" w:start="2520"/>
        <w:rPr>
          <w:rFonts w:ascii="Arial" w:hAnsi="Arial" w:cs="Arial"/>
        </w:rPr>
      </w:pPr>
      <w:r>
        <w:rPr>
          <w:rFonts w:cs="Arial"/>
          <w:b/>
          <w:sz w:val="24"/>
        </w:rPr>
        <w:t>Loan Amount</w:t>
      </w:r>
      <w:r>
        <w:rPr>
          <w:rFonts w:cs="Arial"/>
          <w:sz w:val="24"/>
        </w:rPr>
        <w:t>: $</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Down Payment</w:t>
      </w:r>
      <w:r>
        <w:rPr>
          <w:rFonts w:cs="Arial"/>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Interest Rate</w:t>
      </w:r>
      <w:r>
        <w:rPr>
          <w:rFonts w:cs="Arial"/>
          <w:sz w:val="24"/>
        </w:rPr>
        <w:t xml:space="preserve"> (per annum):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w:t>
      </w:r>
    </w:p>
    <w:p>
      <w:pPr>
        <w:pStyle w:val="ListParagraph"/>
        <w:numPr>
          <w:ilvl w:val="0"/>
          <w:numId w:val="2"/>
        </w:numPr>
        <w:ind w:hanging="360" w:start="2520"/>
        <w:rPr>
          <w:rFonts w:ascii="Arial" w:hAnsi="Arial" w:cs="Arial"/>
        </w:rPr>
      </w:pPr>
      <w:r>
        <w:rPr>
          <w:rFonts w:cs="Arial"/>
          <w:b/>
          <w:sz w:val="24"/>
        </w:rPr>
        <w:t>Term</w:t>
      </w:r>
      <w:r>
        <w:rPr>
          <w:rFonts w:cs="Arial"/>
          <w:sz w:val="24"/>
        </w:rPr>
        <w:t xml:space="preserve">: </w:t>
      </w:r>
      <w:r>
        <w:fldChar w:fldCharType="begin">
          <w:ffData>
            <w:name w:val="Bookmark Copy 16"/>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sdt>
        <w:sdtPr>
          <w:id w:val="2255105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288758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ListParagraph"/>
        <w:numPr>
          <w:ilvl w:val="0"/>
          <w:numId w:val="2"/>
        </w:numPr>
        <w:ind w:hanging="360" w:start="2520"/>
        <w:rPr>
          <w:rFonts w:ascii="Arial" w:hAnsi="Arial" w:cs="Arial"/>
        </w:rPr>
      </w:pPr>
      <w:r>
        <w:rPr>
          <w:rFonts w:cs="Arial"/>
          <w:b/>
          <w:sz w:val="24"/>
        </w:rPr>
        <w:t>Documents</w:t>
      </w:r>
      <w:r>
        <w:rPr>
          <w:rFonts w:cs="Arial"/>
          <w:sz w:val="24"/>
        </w:rPr>
        <w:t xml:space="preserve">: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w:t>
      </w:r>
      <w:r>
        <w:fldChar w:fldCharType="begin">
          <w:ffData>
            <w:name w:val="Bookmark Copy 17"/>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Seller shall have until </w:t>
      </w:r>
      <w:r>
        <w:fldChar w:fldCharType="begin">
          <w:ffData>
            <w:name w:val="Bookmark Copy 1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to approve the Buyer's documentation. In the event Buyer fails to obtain Seller’s approval, this Agreement shall be terminated with the Buyer’s Earnest Money being returned within five (5) business days.</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SALE OF ANOTHER PROPERTY</w:t>
      </w:r>
      <w:r>
        <w:rPr>
          <w:rFonts w:cs="Arial"/>
          <w:sz w:val="24"/>
        </w:rPr>
        <w:t>. Buyer’s performance under this Agreement: (check one)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748886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selling another property.</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7997912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selling another property with a mailing address of </w:t>
      </w:r>
      <w:r>
        <w:fldChar w:fldCharType="begin">
          <w:ffData>
            <w:name w:val="Text5"/>
            <w:enabled/>
            <w:calcOnExit w:val="0"/>
            <w:textInput>
              <w:default w:val="[MAILING ADDRESS]"/>
            </w:textInput>
          </w:ffData>
        </w:fldChar>
      </w:r>
      <w:r>
        <w:rPr/>
        <w:instrText xml:space="preserve"> FORMTEXT </w:instrText>
      </w:r>
      <w:bookmarkStart w:id="4" w:name="Text5_Copy_1"/>
      <w:r>
        <w:rPr/>
      </w:r>
      <w:r>
        <w:rPr/>
        <w:fldChar w:fldCharType="separate"/>
      </w:r>
      <w:r>
        <w:rPr/>
      </w:r>
      <w:r>
        <w:rPr>
          <w:rFonts w:cs="Arial"/>
          <w:sz w:val="24"/>
        </w:rPr>
        <w:t>[MAILING ADDRESS]</w:t>
      </w:r>
      <w:r>
        <w:rPr/>
      </w:r>
      <w:r>
        <w:rPr/>
        <w:fldChar w:fldCharType="end"/>
      </w:r>
      <w:bookmarkEnd w:id="4"/>
      <w:r>
        <w:rPr>
          <w:rFonts w:cs="Arial"/>
          <w:sz w:val="24"/>
        </w:rPr>
        <w:t xml:space="preserve"> within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the Effective Date.</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CLOSING COSTS</w:t>
      </w:r>
      <w:r>
        <w:rPr>
          <w:rFonts w:cs="Arial"/>
          <w:sz w:val="24"/>
        </w:rPr>
        <w:t xml:space="preserve">. The costs attributed to the Closing of the Property shall be the responsibility of </w:t>
      </w:r>
      <w:sdt>
        <w:sdtPr>
          <w:id w:val="10999909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8225022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375934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xml:space="preserve">.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FUNDS AT CLOSING</w:t>
      </w:r>
      <w:r>
        <w:rPr>
          <w:rFonts w:cs="Arial"/>
          <w:sz w:val="24"/>
        </w:rPr>
        <w:t xml:space="preserve">. Buyer and Seller agree that before the recording can take place, funds provided shall be in one (1) of the following forms: cash, interbank electronic transfer, money order, certified check or cashier’s check drawn on a financial institution located in the state of Governing Law, or any above combination that permits the Seller to convert the deposit to cash no later than the next business day.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pacing w:val="2"/>
          <w:sz w:val="24"/>
        </w:rPr>
        <w:t>CLOSING DATE</w:t>
      </w:r>
      <w:r>
        <w:rPr>
          <w:rFonts w:cs="Arial"/>
          <w:spacing w:val="2"/>
          <w:sz w:val="24"/>
        </w:rPr>
        <w:t xml:space="preserve">. This transaction shall close on </w:t>
      </w:r>
      <w:r>
        <w:fldChar w:fldCharType="begin">
          <w:ffData>
            <w:name w:val="Bookmark Copy 20"/>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1"/>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949799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3816838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 or earlier at the office of a title company to be agreed upon by the Parties (“Closing”)</w:t>
      </w:r>
      <w:r>
        <w:rPr>
          <w:rFonts w:cs="Arial"/>
          <w:sz w:val="24"/>
        </w:rPr>
        <w:t xml:space="preserve">. </w:t>
      </w:r>
      <w:r>
        <w:rPr>
          <w:rFonts w:cs="Arial"/>
          <w:spacing w:val="2"/>
          <w:sz w:val="24"/>
        </w:rPr>
        <w:t xml:space="preserve">Any extension of the Closing must be agreed upon, in writing, by Buyer and Seller. Real estate taxes, rents, dues, fees, and expenses relating to the Property for the year in which the sale is closed shall be prorated as of the Closing. </w:t>
      </w:r>
      <w:r>
        <w:rPr>
          <w:rFonts w:cs="Arial"/>
          <w:spacing w:val="-1"/>
          <w:sz w:val="24"/>
        </w:rPr>
        <w:t xml:space="preserve">Taxes due for prior years </w:t>
      </w:r>
      <w:r>
        <w:rPr>
          <w:rFonts w:cs="Arial"/>
          <w:spacing w:val="2"/>
          <w:sz w:val="24"/>
        </w:rPr>
        <w:t xml:space="preserve">shall be paid by Seller.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SURVEY</w:t>
      </w:r>
      <w:r>
        <w:rPr>
          <w:rFonts w:cs="Arial"/>
          <w:spacing w:val="2"/>
          <w:sz w:val="24"/>
        </w:rPr>
        <w:t>.</w:t>
      </w:r>
      <w:r>
        <w:rPr>
          <w:rFonts w:cs="Arial"/>
          <w:b/>
          <w:bCs/>
          <w:sz w:val="24"/>
        </w:rPr>
        <w:t xml:space="preserve"> </w:t>
      </w:r>
      <w:r>
        <w:rPr>
          <w:rFonts w:cs="Arial"/>
          <w:sz w:val="24"/>
        </w:rPr>
        <w:t xml:space="preserve">Buyer may obtain a survey of the Property before the Closing to assure that there are no defects, encroachments, overlaps, boundary line or acreage disputes, or other such matters, that would be disclosed by a survey ("Survey Problems"). The cost of the survey shall be paid by the Buyer. Not later than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prior to the Closing, Buyer shall notify Seller of any Survey Problems which shall be deemed to be a defect in the title to the Property. Seller shall be required to remedy such defects within </w:t>
      </w:r>
      <w:r>
        <w:fldChar w:fldCharType="begin">
          <w:ffData>
            <w:name w:val="Bookmark Copy 23"/>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and prior to the Closing.</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If Seller does not or cannot remedy any such defect(s), Buyer shall have the option of canceling this Agreement, in which case the Earnest Money shall be returned to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z w:val="24"/>
        </w:rPr>
        <w:t>MINERAL RIGHTS</w:t>
      </w:r>
      <w:r>
        <w:rPr>
          <w:rFonts w:cs="Arial"/>
          <w:bCs/>
          <w:sz w:val="24"/>
        </w:rPr>
        <w:t xml:space="preserve">. It is agreed and understood that all rights under the soil, including but not limited to water, gas, oil, and mineral rights shall be transferred by the Seller to the Buyer at </w:t>
      </w:r>
      <w:r>
        <w:rPr>
          <w:rFonts w:cs="Arial"/>
          <w:sz w:val="24"/>
        </w:rPr>
        <w:t>Closing</w:t>
      </w:r>
      <w:r>
        <w:rPr>
          <w:rFonts w:cs="Arial"/>
          <w:bCs/>
          <w:sz w:val="24"/>
        </w:rPr>
        <w: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TITLE</w:t>
      </w:r>
      <w:r>
        <w:rPr>
          <w:rFonts w:cs="Arial"/>
          <w:spacing w:val="2"/>
          <w:sz w:val="24"/>
        </w:rPr>
        <w:t xml:space="preserve">. Seller shall convey title to the property by warranty deed or equivalent. The Property may be subject to restrictions contained on the plat, deed, covenants, conditions, and restrictions, or other documents noted in a Title Search Report. Upon execution of this Agreement by the Parties, Seller will order a Title Search Report, and have it </w:t>
      </w:r>
      <w:bookmarkStart w:id="5" w:name="_GoBack"/>
      <w:bookmarkEnd w:id="5"/>
      <w:r>
        <w:rPr>
          <w:rFonts w:cs="Arial"/>
          <w:spacing w:val="2"/>
          <w:sz w:val="24"/>
        </w:rPr>
        <w:t>delivered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Upon receipt of the Title Search Report, the Buyer shall have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business days to notify the Seller, in writing, of any matters disclosed in the report which are unacceptable to Buyer. Buyer’s failure to timely object to the report shall constitute acceptance of the Title Search Report.</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z w:val="24"/>
        </w:rPr>
        <w:t xml:space="preserve">If any objections are made by Buyer regarding </w:t>
      </w:r>
      <w:r>
        <w:rPr>
          <w:rFonts w:cs="Arial"/>
          <w:spacing w:val="2"/>
          <w:sz w:val="24"/>
        </w:rPr>
        <w:t>the Title Search Report, mortgage loan inspection, or other information that discloses a material defect,</w:t>
      </w:r>
      <w:r>
        <w:rPr>
          <w:rFonts w:cs="Arial"/>
          <w:sz w:val="24"/>
        </w:rPr>
        <w:t xml:space="preserve"> the Seller shall have </w:t>
      </w:r>
      <w:r>
        <w:fldChar w:fldCharType="begin">
          <w:ffData>
            <w:name w:val="Bookmark Copy 2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pacing w:val="2"/>
          <w:sz w:val="24"/>
        </w:rPr>
        <w:t xml:space="preserve"> </w:t>
      </w:r>
      <w:r>
        <w:rPr>
          <w:rFonts w:cs="Arial"/>
          <w:sz w:val="24"/>
        </w:rPr>
        <w:t xml:space="preserve">business days from the date the objections were received to correct said matters. If Seller does not remedy any defect discovered by the Title Search Report, Buyer shall have the option of canceling this Agreement, in which case the Earnest Money shall be returned to Buyer. </w:t>
      </w:r>
    </w:p>
    <w:p>
      <w:pPr>
        <w:pStyle w:val="ListParagraph"/>
        <w:ind w:start="900"/>
        <w:rPr>
          <w:rFonts w:ascii="Arial" w:hAnsi="Arial" w:cs="Arial"/>
        </w:rPr>
      </w:pPr>
      <w:r>
        <w:rPr>
          <w:rFonts w:cs="Arial" w:ascii="Arial" w:hAnsi="Arial"/>
        </w:rPr>
      </w:r>
    </w:p>
    <w:p>
      <w:pPr>
        <w:pStyle w:val="ListParagraph"/>
        <w:ind w:start="900"/>
        <w:rPr>
          <w:rFonts w:ascii="Arial" w:hAnsi="Arial" w:cs="Arial"/>
        </w:rPr>
      </w:pPr>
      <w:r>
        <w:rPr>
          <w:rFonts w:cs="Arial"/>
          <w:sz w:val="24"/>
        </w:rPr>
        <w:t>After Closing, Buyer shall receive an owner’s standard form policy of title insurance insuring marketable title in the Property to Buyer in the amount of the Purchase Price, free and clear of the objections and all other title exceptions agreed to be removed as part of this transaction.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PROPERTY CONDITION</w:t>
      </w:r>
      <w:r>
        <w:rPr>
          <w:rFonts w:cs="Arial"/>
          <w:sz w:val="24"/>
        </w:rPr>
        <w:t>. Seller agrees to maintain the Property in its current condition, subject to ordinary wear and tear, from the time this Agreement comes into effect until the Closing. Buyer recognizes that the Seller, along with any licensed real estate agent(s) involved in this transaction, make no claims as to the validity of any property disclosure information. Buyer is required to perform their own inspections, tests, and investigations to verify any information provided by the Seller. Afterward, the Buyer shall submit copies of all tests and reports to the Seller at no cost.</w:t>
      </w:r>
    </w:p>
    <w:p>
      <w:pPr>
        <w:pStyle w:val="ListParagraph"/>
        <w:ind w:start="900"/>
        <w:rPr>
          <w:rFonts w:ascii="Arial" w:hAnsi="Arial" w:cs="Arial"/>
          <w:b/>
        </w:rPr>
      </w:pPr>
      <w:r>
        <w:rPr>
          <w:rFonts w:cs="Arial" w:ascii="Arial" w:hAnsi="Arial"/>
          <w:b/>
        </w:rPr>
      </w:r>
    </w:p>
    <w:p>
      <w:pPr>
        <w:pStyle w:val="ListParagraph"/>
        <w:ind w:start="900"/>
        <w:rPr>
          <w:rFonts w:ascii="Arial" w:hAnsi="Arial" w:cs="Arial"/>
          <w:spacing w:val="2"/>
        </w:rPr>
      </w:pPr>
      <w:r>
        <w:rPr>
          <w:rFonts w:cs="Arial"/>
          <w:sz w:val="24"/>
        </w:rPr>
        <w:t xml:space="preserve">Therefore, Buyer shall hold the right to hire licensed contractors, or other qualified professionals, to further inspect and investigate the Property until </w:t>
      </w:r>
      <w:r>
        <w:fldChar w:fldCharType="begin">
          <w:ffData>
            <w:name w:val="Bookmark Copy 26"/>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7"/>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8981696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9367994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After all inspections are completed, Buyer shall have until </w:t>
      </w:r>
      <w:r>
        <w:fldChar w:fldCharType="begin">
          <w:ffData>
            <w:name w:val="Bookmark Copy 2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676367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1026442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PM to present any new property disclosures to the Seller in writing. The Buyer and Seller shall have </w:t>
      </w:r>
      <w:r>
        <w:fldChar w:fldCharType="begin">
          <w:ffData>
            <w:name w:val="Bookmark Copy 30"/>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reach an agreement over any new property disclosures found by the Buyer. If the Parties cannot come to an agreement, this Agreement shall be terminated with the </w:t>
      </w:r>
      <w:r>
        <w:rPr>
          <w:rFonts w:cs="Arial"/>
          <w:sz w:val="24"/>
        </w:rPr>
        <w:t>Earnest Money</w:t>
      </w:r>
      <w:r>
        <w:rPr>
          <w:rFonts w:cs="Arial"/>
          <w:spacing w:val="2"/>
          <w:sz w:val="24"/>
        </w:rPr>
        <w:t xml:space="preserve"> being returned to the Buyer.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If the Buyer fails to have the Property inspected or does not provide the Seller with written notice of the new disclosures on the Property, in accordance with this Agreement, Buyer hereby accepts the Property in its current condition and as described in any disclosure forms presented by the Seller.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 xml:space="preserve">In the event improvements on the Property are destroyed, compromised, or materially damaged prior to </w:t>
      </w:r>
      <w:r>
        <w:rPr>
          <w:rFonts w:cs="Arial"/>
          <w:sz w:val="24"/>
        </w:rPr>
        <w:t>Closing</w:t>
      </w:r>
      <w:r>
        <w:rPr>
          <w:rFonts w:cs="Arial"/>
          <w:spacing w:val="2"/>
          <w:sz w:val="24"/>
        </w:rPr>
        <w:t>, the Agreement may be terminated at Buyer’s option.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SELLER’S INDEMNIFICATION</w:t>
      </w:r>
      <w:r>
        <w:rPr>
          <w:rFonts w:cs="Arial"/>
          <w:spacing w:val="2"/>
          <w:sz w:val="24"/>
        </w:rPr>
        <w:t xml:space="preserve">. Except as otherwise stated in this Agreement, after recording, the Buyer shall accept the Property AS IS, WHERE IS, with all defects, latent or otherwise. Neither Seller nor their licensed real estate agent(s) or any other agent(s) of the Seller, shall be bound to any representation or warranty of any kind relating in any way to the Property or its condition, quality or quantity, except as specifically set forth in this Agreement or any property disclosure, which contains representations of the Seller only, and which is based upon the best of the Seller’s personal knowledge.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APPRAISAL</w:t>
      </w:r>
      <w:r>
        <w:rPr>
          <w:rFonts w:cs="Arial"/>
          <w:spacing w:val="2"/>
          <w:sz w:val="24"/>
        </w:rPr>
        <w:t>. Buyer’s performance under this Agreement: (check one)</w:t>
      </w:r>
    </w:p>
    <w:p>
      <w:pPr>
        <w:pStyle w:val="Normal"/>
        <w:rPr>
          <w:rFonts w:ascii="Arial" w:hAnsi="Arial" w:cs="Arial"/>
          <w:spacing w:val="2"/>
        </w:rPr>
      </w:pPr>
      <w:r>
        <w:rPr>
          <w:rFonts w:cs="Arial" w:ascii="Arial" w:hAnsi="Arial"/>
          <w:spacing w:val="2"/>
        </w:rPr>
      </w:r>
    </w:p>
    <w:p>
      <w:pPr>
        <w:pStyle w:val="Normal"/>
        <w:ind w:start="1440"/>
        <w:rPr>
          <w:rFonts w:ascii="Arial" w:hAnsi="Arial" w:cs="Arial"/>
        </w:rPr>
      </w:pPr>
      <w:sdt>
        <w:sdtPr>
          <w:id w:val="20924350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 not</w:t>
      </w:r>
      <w:r>
        <w:rPr>
          <w:rFonts w:cs="Arial"/>
          <w:spacing w:val="2"/>
          <w:sz w:val="24"/>
        </w:rPr>
        <w:t xml:space="preserve"> be contingent upon the appraisal of the Property being equal to or greater than the agreed upon Purchase Price.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6108039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w:t>
      </w:r>
      <w:r>
        <w:rPr>
          <w:rFonts w:cs="Arial"/>
          <w:spacing w:val="2"/>
          <w:sz w:val="24"/>
        </w:rPr>
        <w:t xml:space="preserve"> be contingent upon the appraisal of the Property being equal to or greater than the agreed upon Purchase Price. If the Property does not appraise to at least the amount of the Purchase Price, or if the appraisal discovers lender-required repairs, the Parties shall have </w:t>
      </w:r>
      <w:r>
        <w:fldChar w:fldCharType="begin">
          <w:ffData>
            <w:name w:val="Bookmark Copy 31"/>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re-negotiate this Agreement (“Negotiation Period”). In such event the Parties cannot come to an agreement during the Negotiation Period, this Agreement shall terminate with the </w:t>
      </w:r>
      <w:r>
        <w:rPr>
          <w:rFonts w:cs="Arial"/>
          <w:sz w:val="24"/>
        </w:rPr>
        <w:t>Earnest Money</w:t>
      </w:r>
      <w:r>
        <w:rPr>
          <w:rFonts w:cs="Arial"/>
          <w:spacing w:val="2"/>
          <w:sz w:val="24"/>
        </w:rPr>
        <w:t xml:space="preserve"> being returned to the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REQUIRED DOCUMENTS</w:t>
      </w:r>
      <w:r>
        <w:rPr>
          <w:rFonts w:cs="Arial"/>
          <w:sz w:val="24"/>
        </w:rPr>
        <w:t xml:space="preserve">. Prior to the Closing, the Parties agree to authorize all necessary documents, in good faith, in order to record the transaction under the conditions required by the recorder, title company, lender, or any other public or private entity.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TERMINATION</w:t>
      </w:r>
      <w:r>
        <w:rPr>
          <w:rFonts w:cs="Arial"/>
          <w:sz w:val="24"/>
        </w:rPr>
        <w:t xml:space="preserve">. In the event this Agreement is terminated, as provided in this Agreement, absent of default, any Earnest Money shall be returned to the Buyer, in-full, within </w:t>
      </w:r>
      <w:r>
        <w:fldChar w:fldCharType="begin">
          <w:ffData>
            <w:name w:val="Bookmark Copy 3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with all parties being relieved of their obligations as set forth herein.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SEX OFFENDERS</w:t>
      </w:r>
      <w:r>
        <w:rPr>
          <w:rFonts w:cs="Arial"/>
          <w:sz w:val="24"/>
        </w:rPr>
        <w:t>. Section 2250 of Title 18, United States Code, makes it a federal offense for sex offenders required to register pursuant to the Sex Offender Registration and Notification Act (SORNA), to knowingly fail to register or update a registration as required. State convicted sex offenders may also be prosecuted under this statute if the sex offender knowingly fails to register or update a registration as required, and engages in interstate travel, foreign travel, or enters, leaves, or resides on an Indian reservation.</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 xml:space="preserve">A sex offender who fails to properly register may face fines and up to ten (10) years in prison. Furthermore, if a sex offender knowingly fails to update or register as required and commits a violent federal crime, he or she may face up to thirty (30) years in prison under this statute. The Buyer may seek more information online by visiting https://www.nsopw.gov/.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TIME</w:t>
      </w:r>
      <w:r>
        <w:rPr>
          <w:rFonts w:cs="Arial"/>
          <w:sz w:val="24"/>
        </w:rPr>
        <w:t>. Time is of the essence. All understandings between the Parties are incorporated in this Agreement. Its terms are intended by the Parties as a final, complete and exclusive expression of their Agreement with respect to its subject matter and they may not be contradicted by evidence of any prior agreement or contemporaneous oral agreement.</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BUYER’S DEFAULT</w:t>
      </w:r>
      <w:r>
        <w:rPr>
          <w:rFonts w:cs="Arial"/>
          <w:sz w:val="24"/>
        </w:rPr>
        <w:t xml:space="preserve">. Seller’s remedies shall be limited to liquidated damages in the amount of the Earnest Money set forth in Section IV. It is agreed that such payments and things of value are liquidated damages and are Seller’s sole and only remedy for Buyer’s failure to perform the obligations of this Agreement. The Parties agree that Seller’s actual damages in the event of Buyer’s default would be difficult to measure, and the amount of the liquidated damages herein provided for is a reasonable estimate of such damages.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SELLER’S DEFAULT</w:t>
      </w:r>
      <w:r>
        <w:rPr>
          <w:rFonts w:cs="Arial"/>
          <w:sz w:val="24"/>
        </w:rPr>
        <w:t>. Buyer may elect to treat this Agreement as cancelled, in which case all Earnest Money paid by Buyer hereunder shall be returned and Buyer may recover such damages as may be proper, or Buyer may elect to treat this Agreement as being in full force and effect and Buyer shall have the right to specific performance or damages, or both.</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z w:val="24"/>
        </w:rPr>
        <w:t>EARNEST MONEY DISPUTE</w:t>
      </w:r>
      <w:r>
        <w:rPr>
          <w:rFonts w:cs="Arial"/>
          <w:spacing w:val="2"/>
          <w:sz w:val="24"/>
        </w:rPr>
        <w:t>. Notwithstanding any termination of this Agreement, the Parties agree that in the event of any controversy regarding the release of the Earnest Money that the matter shall be submitted to mediation as provided in Section XXIII.</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3"/>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3"/>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Governing Law. Judgment upon the award of the arbitrator(s) may be entered into any court having jurisdiction. Enforcement of this Agreement to arbitrate shall be governed by the Federal Arbitration Act. </w:t>
      </w:r>
    </w:p>
    <w:p>
      <w:pPr>
        <w:pStyle w:val="ListParagraph"/>
        <w:numPr>
          <w:ilvl w:val="0"/>
          <w:numId w:val="3"/>
        </w:numPr>
        <w:rPr>
          <w:rFonts w:ascii="Arial" w:hAnsi="Arial" w:cs="Arial"/>
        </w:rPr>
      </w:pPr>
      <w:r>
        <w:rPr>
          <w:rFonts w:cs="Arial"/>
          <w:b/>
          <w:spacing w:val="2"/>
          <w:sz w:val="24"/>
        </w:rPr>
        <w:t>Exclusions</w:t>
      </w:r>
      <w:r>
        <w:rPr>
          <w:rFonts w:cs="Arial"/>
          <w:spacing w:val="2"/>
          <w:sz w:val="24"/>
        </w:rPr>
        <w:t>. The following matters shall be excluded from the mediation and arbitration: (i) a judicial or non-judicial foreclosure or other action or proceeding to enforce a deed, mortgage or installment land sale contract as defined in accordance with Governing Law; (ii) an unlawful detainer action, forcible entry detainer, eviction action, or equivalent; (iii) the filing or enforcement of a mechanic’s lien; and (iv) any matter that is within the jurisdiction of a probate, small claims or bankruptcy court. The filing of a court action to enable the recording of a notice of pending action, for order of attachment, receivership, injunction, or other provisional remedies, shall not constitute a waiver or violation of the mediation and arbitration provisions of this Section.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bCs/>
          <w:spacing w:val="2"/>
          <w:sz w:val="24"/>
        </w:rPr>
        <w:t xml:space="preserve">GOVERNING LAW. </w:t>
      </w:r>
      <w:r>
        <w:rPr>
          <w:rFonts w:cs="Arial"/>
          <w:spacing w:val="2"/>
          <w:sz w:val="24"/>
        </w:rPr>
        <w:t xml:space="preserve">This Agreement shall be interpreted in accordance with the laws in the state of </w:t>
      </w:r>
      <w:r>
        <w:rPr>
          <w:rFonts w:cs="Arial"/>
          <w:sz w:val="24"/>
        </w:rPr>
        <w:t>Oklahoma (“Governing Law”).</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TERMS AND CONDITIONS OF OFFER</w:t>
      </w:r>
      <w:r>
        <w:rPr>
          <w:rFonts w:cs="Arial"/>
          <w:spacing w:val="2"/>
          <w:sz w:val="24"/>
        </w:rPr>
        <w:t>. This is an offer to purchase the Property in accordance with the above stated terms and conditions of this Agreement. If at least one, but not all, of the Parties initial such pages, a counteroffer is required until an agreement is reached. Seller has the right to continue to offer the Property for sale and to accept any other offer at any time prior to notification of acceptance. If this offer is accepted and Buyer subsequently defaults, Buyer may be responsible for payment of licensed real estate agent(s) compensation. This Agreement and any supplement, addendum or modification, including any copy, may be signed in two or more counterparts, all of which shall constitute one and the same writing.</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fldChar w:fldCharType="begin">
          <w:ffData>
            <w:name w:val="Bookmark Copy 3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34"/>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081282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3269751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ACCEPTANCE</w:t>
      </w:r>
      <w:r>
        <w:rPr>
          <w:rFonts w:cs="Arial"/>
          <w:spacing w:val="2"/>
          <w:sz w:val="24"/>
        </w:rPr>
        <w:t>. Seller warrants that Seller is the owner of the Property or has the authority to execute this Agreement. Therefore, by the Seller’s authorization below, he/she/they accepts the above offer and agrees to sell the Property on the above terms and conditions and agrees to the agency relationships in accordance with any agreement(s) made with licensed real estate agent(s). Seller has read and acknowledges receipt of a copy of this Agreement and authorizes any licensed real estate agent(s) to deliver a signed copy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Normal"/>
        <w:ind w:firstLine="540"/>
        <w:rPr>
          <w:rFonts w:ascii="Arial" w:hAnsi="Arial" w:cs="Arial"/>
          <w:b/>
          <w:bCs/>
          <w:spacing w:val="2"/>
        </w:rPr>
      </w:pPr>
      <w:r>
        <w:rPr>
          <w:rFonts w:cs="Arial" w:ascii="Arial" w:hAnsi="Arial"/>
          <w:b/>
          <w:bCs/>
          <w:spacing w:val="2"/>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LICENSED REAL ESTATE AGENT(S)</w:t>
      </w:r>
      <w:r>
        <w:rPr>
          <w:rFonts w:cs="Arial"/>
          <w:spacing w:val="2"/>
          <w:sz w:val="24"/>
        </w:rPr>
        <w:t>. If Buyer or Seller have hired the services of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DISCLOSURES</w:t>
      </w:r>
      <w:r>
        <w:rPr>
          <w:rFonts w:cs="Arial"/>
          <w:spacing w:val="2"/>
          <w:sz w:val="24"/>
        </w:rPr>
        <w:t>. It is acknowledged by the Parties that: (check one)</w:t>
      </w:r>
    </w:p>
    <w:p>
      <w:pPr>
        <w:pStyle w:val="Normal"/>
        <w:tabs>
          <w:tab w:val="clear" w:pos="720"/>
          <w:tab w:val="left" w:pos="502" w:leader="none"/>
          <w:tab w:val="right" w:pos="10621" w:leader="underscore"/>
        </w:tabs>
        <w:ind w:start="1440"/>
        <w:rPr>
          <w:rFonts w:ascii="Arial" w:hAnsi="Arial" w:cs="Arial"/>
        </w:rPr>
      </w:pPr>
      <w:sdt>
        <w:sdtPr>
          <w:id w:val="200296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There are no attached addendums or disclosures to this Agreement. </w:t>
      </w:r>
    </w:p>
    <w:p>
      <w:pPr>
        <w:pStyle w:val="Normal"/>
        <w:tabs>
          <w:tab w:val="clear" w:pos="720"/>
          <w:tab w:val="left" w:pos="502" w:leader="none"/>
          <w:tab w:val="right" w:pos="10621" w:leader="underscore"/>
        </w:tabs>
        <w:ind w:start="1440"/>
        <w:rPr>
          <w:rFonts w:ascii="Arial" w:hAnsi="Arial" w:cs="Arial"/>
        </w:rPr>
      </w:pPr>
      <w:sdt>
        <w:sdtPr>
          <w:id w:val="-18672049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The following addendums or disclosures are attached to this Agreement: (check all that apply)</w:t>
      </w:r>
    </w:p>
    <w:p>
      <w:pPr>
        <w:pStyle w:val="Normal"/>
        <w:tabs>
          <w:tab w:val="clear" w:pos="720"/>
          <w:tab w:val="left" w:pos="502" w:leader="none"/>
          <w:tab w:val="right" w:pos="10621" w:leader="underscore"/>
        </w:tabs>
        <w:ind w:start="1942"/>
        <w:rPr>
          <w:rFonts w:ascii="Arial" w:hAnsi="Arial" w:cs="Arial"/>
        </w:rPr>
      </w:pPr>
      <w:sdt>
        <w:sdtPr>
          <w:id w:val="967938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Lead-Based Paint Disclosure Form </w:t>
      </w:r>
    </w:p>
    <w:p>
      <w:pPr>
        <w:pStyle w:val="Normal"/>
        <w:tabs>
          <w:tab w:val="clear" w:pos="720"/>
          <w:tab w:val="left" w:pos="502" w:leader="none"/>
          <w:tab w:val="right" w:pos="10621" w:leader="underscore"/>
        </w:tabs>
        <w:ind w:start="1942"/>
        <w:rPr>
          <w:rFonts w:ascii="Arial" w:hAnsi="Arial" w:cs="Arial"/>
        </w:rPr>
      </w:pPr>
      <w:sdt>
        <w:sdtPr>
          <w:id w:val="12300460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Acknowledgment of Property Disclosures</w:t>
      </w:r>
    </w:p>
    <w:p>
      <w:pPr>
        <w:pStyle w:val="Normal"/>
        <w:tabs>
          <w:tab w:val="clear" w:pos="720"/>
          <w:tab w:val="left" w:pos="502" w:leader="none"/>
          <w:tab w:val="right" w:pos="10621" w:leader="underscore"/>
        </w:tabs>
        <w:ind w:start="1942"/>
        <w:rPr>
          <w:rFonts w:ascii="Arial" w:hAnsi="Arial" w:cs="Arial"/>
        </w:rPr>
      </w:pPr>
      <w:sdt>
        <w:sdtPr>
          <w:id w:val="20558893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Property Disclosure Statement (Appendix A)</w:t>
      </w:r>
    </w:p>
    <w:p>
      <w:pPr>
        <w:pStyle w:val="Normal"/>
        <w:tabs>
          <w:tab w:val="clear" w:pos="720"/>
          <w:tab w:val="left" w:pos="502" w:leader="none"/>
          <w:tab w:val="right" w:pos="10621" w:leader="underscore"/>
        </w:tabs>
        <w:ind w:start="1942"/>
        <w:rPr>
          <w:rFonts w:ascii="Arial" w:hAnsi="Arial" w:cs="Arial"/>
        </w:rPr>
      </w:pPr>
      <w:sdt>
        <w:sdtPr>
          <w:id w:val="-1225051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Property Disclaimer Statement (Appendix B)</w:t>
      </w:r>
    </w:p>
    <w:p>
      <w:pPr>
        <w:pStyle w:val="Normal"/>
        <w:tabs>
          <w:tab w:val="clear" w:pos="720"/>
          <w:tab w:val="left" w:pos="502" w:leader="none"/>
          <w:tab w:val="right" w:pos="10621" w:leader="underscore"/>
        </w:tabs>
        <w:ind w:start="1942"/>
        <w:rPr>
          <w:rFonts w:ascii="Arial" w:hAnsi="Arial" w:cs="Arial"/>
        </w:rPr>
      </w:pPr>
      <w:sdt>
        <w:sdtPr>
          <w:id w:val="8513142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5"/>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left" w:pos="502" w:leader="none"/>
          <w:tab w:val="right" w:pos="10621" w:leader="underscore"/>
        </w:tabs>
        <w:ind w:hanging="900" w:start="900"/>
        <w:rPr>
          <w:rFonts w:ascii="Arial" w:hAnsi="Arial" w:cs="Arial"/>
        </w:rPr>
      </w:pPr>
      <w:r>
        <w:rPr>
          <w:rFonts w:cs="Arial"/>
          <w:b/>
          <w:sz w:val="24"/>
        </w:rPr>
        <w:t>ADDITIONAL TERMS AND CONDITIONS</w:t>
      </w:r>
      <w:r>
        <w:rPr>
          <w:rFonts w:cs="Arial"/>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sz w:val="24"/>
        </w:rPr>
        <w:t>[ADDITIONAL TERMS]</w:t>
      </w:r>
      <w:r/>
      <w:r>
        <w:rPr/>
        <w:fldChar w:fldCharType="end"/>
      </w:r>
      <w:r>
        <w:rPr/>
      </w:r>
    </w:p>
    <w:p>
      <w:pPr>
        <w:pStyle w:val="ListParagraph"/>
        <w:ind w:start="900"/>
        <w:rPr>
          <w:rFonts w:ascii="Arial" w:hAnsi="Arial" w:cs="Arial"/>
        </w:rPr>
      </w:pPr>
      <w:r>
        <w:rPr>
          <w:rFonts w:cs="Arial" w:ascii="Arial" w:hAnsi="Arial"/>
        </w:rPr>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ENTIRE AGREEMENT.</w:t>
      </w:r>
      <w:r>
        <w:rPr>
          <w:rFonts w:cs="Arial"/>
          <w:spacing w:val="2"/>
          <w:sz w:val="24"/>
        </w:rPr>
        <w:t xml:space="preserve"> This Agreement together with any attached addendums or disclosures shall supersede any and all other prior understandings and agreements, either oral or in writing, between the Parties with respect to the subject matter hereof and shall constitute the sole and only agreements between the Parties with respect to the said Property. All prior negotiations and agreements between the Parties 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suppressAutoHyphens w:val="false"/>
        <w:rPr>
          <w:rFonts w:ascii="Arial" w:hAnsi="Arial" w:cs="Arial"/>
          <w:spacing w:val="2"/>
        </w:rPr>
      </w:pPr>
      <w:r>
        <w:rPr>
          <w:rFonts w:cs="Arial" w:ascii="Arial" w:hAnsi="Arial"/>
          <w:spacing w:val="2"/>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b/>
          <w:spacing w:val="2"/>
        </w:rPr>
      </w:pPr>
      <w:r>
        <w:rPr>
          <w:rFonts w:cs="Arial"/>
          <w:b/>
          <w:spacing w:val="2"/>
          <w:sz w:val="24"/>
        </w:rPr>
        <w:t>EXECUTION</w:t>
      </w:r>
      <w:r>
        <w:rPr>
          <w:rFonts w:cs="Arial"/>
          <w:bCs/>
          <w:spacing w:val="2"/>
          <w:sz w:val="24"/>
        </w:rPr>
        <w:t>.</w:t>
      </w:r>
    </w:p>
    <w:p>
      <w:pPr>
        <w:pStyle w:val="Normal"/>
        <w:ind w:hanging="90"/>
        <w:rPr>
          <w:rFonts w:ascii="Arial" w:hAnsi="Arial" w:cs="Arial"/>
          <w:spacing w:val="2"/>
        </w:rPr>
      </w:pPr>
      <w:r>
        <w:rPr>
          <w:rFonts w:cs="Arial" w:ascii="Arial" w:hAnsi="Arial"/>
          <w:spacing w:val="2"/>
        </w:rPr>
      </w:r>
    </w:p>
    <w:p>
      <w:pPr>
        <w:pStyle w:val="Normal"/>
        <w:ind w:hanging="90"/>
        <w:rPr>
          <w:rFonts w:ascii="Arial" w:hAnsi="Arial" w:cs="Arial"/>
          <w:spacing w:val="2"/>
        </w:rPr>
      </w:pPr>
      <w:r>
        <w:rPr>
          <w:rFonts w:cs="Arial" w:ascii="Arial" w:hAnsi="Arial"/>
          <w:spacing w:val="2"/>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sectPr>
      <w:footerReference w:type="default" r:id="rId5"/>
      <w:footerReference w:type="first" r:id="rId6"/>
      <w:type w:val="nextPage"/>
      <w:pgSz w:w="12240" w:h="15840"/>
      <w:pgMar w:left="1440" w:right="1440" w:gutter="0" w:header="0" w:top="1440" w:footer="720" w:bottom="144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0">
              <wp:simplePos x="0" y="0"/>
              <wp:positionH relativeFrom="page">
                <wp:posOffset>5855335</wp:posOffset>
              </wp:positionH>
              <wp:positionV relativeFrom="paragraph">
                <wp:posOffset>81280</wp:posOffset>
              </wp:positionV>
              <wp:extent cx="1232535" cy="146050"/>
              <wp:effectExtent l="0" t="0" r="0" b="0"/>
              <wp:wrapNone/>
              <wp:docPr id="2" name="Frame3"/>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5855335</wp:posOffset>
              </wp:positionH>
              <wp:positionV relativeFrom="paragraph">
                <wp:posOffset>81280</wp:posOffset>
              </wp:positionV>
              <wp:extent cx="1232535" cy="146050"/>
              <wp:effectExtent l="0" t="0" r="0" b="0"/>
              <wp:wrapNone/>
              <wp:docPr id="3" name="Frame4"/>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3">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10</Pages>
  <Words>3569</Words>
  <Characters>18733</Characters>
  <CharactersWithSpaces>22221</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2022-06-13T16:52:00Z</dcterms:created>
  <dc:creator>eForms</dc:creator>
  <dc:description> </dc:description>
  <cp:keywords> </cp:keywords>
  <dc:language>en-IN</dc:language>
  <cp:lastModifiedBy>Microsoft Office User</cp:lastModifiedBy>
  <cp:lastPrinted>2010-02-10T05:40:00Z</cp:lastPrinted>
  <dcterms:modified xsi:type="dcterms:W3CDTF">2023-09-20T20:30:00Z</dcterms:modified>
  <cp:revision>3</cp:revision>
  <dc:subject/>
  <dc:title>Oklahoma Residential Purchase Agreement</dc:title>
</cp:coreProperties>
</file>

<file path=docProps/custom.xml><?xml version="1.0" encoding="utf-8"?>
<Properties xmlns="http://schemas.openxmlformats.org/officeDocument/2006/custom-properties" xmlns:vt="http://schemas.openxmlformats.org/officeDocument/2006/docPropsVTypes"/>
</file>