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footer1.xml" ContentType="application/vnd.openxmlformats-officedocument.wordprocessingml.footer+xml"/>
  <Override PartName="/word/fontTable.xml" ContentType="application/vnd.openxmlformats-officedocument.wordprocessingml.fontTable+xml"/>
</Types>
</file>

<file path=_rels/.rels><?xml version="1.0" encoding="UTF-8"?>
<Relationships xmlns="http://schemas.openxmlformats.org/package/2006/relationships"><Relationship Id="rId1" Type="http://schemas.openxmlformats.org/officedocument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jc w:val="center"/>
        <w:rPr>
          <w:rFonts w:ascii="Arial" w:hAnsi="Arial" w:cs="Arial"/>
          <w:b/>
          <w:bCs/>
          <w:sz w:val="40"/>
          <w:szCs w:val="40"/>
        </w:rPr>
      </w:pPr>
      <w:r>
        <w:rPr>
          <w:rFonts w:cs="Arial" w:ascii="Times New Roman" w:hAnsi="Times New Roman"/>
          <w:b/>
          <w:bCs/>
          <w:sz w:val="24"/>
          <w:szCs w:val="40"/>
        </w:rPr>
        <w:t>FLORIDA SINGLE AGENT NOTICE</w:t>
      </w:r>
    </w:p>
    <w:p>
      <w:pPr>
        <w:pStyle w:val="Normal"/>
        <w:jc w:val="center"/>
        <w:rPr>
          <w:rFonts w:ascii="Arial" w:hAnsi="Arial" w:cs="Arial"/>
          <w:b/>
          <w:bCs/>
          <w:sz w:val="36"/>
          <w:szCs w:val="36"/>
        </w:rPr>
      </w:pPr>
      <w:r>
        <w:rPr>
          <w:rFonts w:cs="Arial" w:ascii="Arial" w:hAnsi="Arial"/>
          <w:b/>
          <w:bCs/>
          <w:sz w:val="36"/>
          <w:szCs w:val="36"/>
        </w:rPr>
      </w:r>
    </w:p>
    <w:p>
      <w:pPr>
        <w:pStyle w:val="Normal"/>
        <w:rPr>
          <w:rFonts w:ascii="Arial" w:hAnsi="Arial" w:cs="Arial"/>
          <w:sz w:val="22"/>
          <w:szCs w:val="22"/>
        </w:rPr>
      </w:pPr>
      <w:r>
        <w:rPr>
          <w:rFonts w:cs="Arial" w:ascii="Times New Roman" w:hAnsi="Times New Roman"/>
          <w:b/>
          <w:bCs/>
          <w:sz w:val="24"/>
          <w:szCs w:val="22"/>
        </w:rPr>
        <w:t>FLORIDA LAW REQUIRES THAT REAL ESTATE LICENSEES OPERATING AS SINGLE AGENTS DISCLOSE TO BUYERS AND SELLERS THEIR DUTIES.</w:t>
      </w:r>
    </w:p>
    <w:p>
      <w:pPr>
        <w:pStyle w:val="Normal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</w:r>
    </w:p>
    <w:p>
      <w:pPr>
        <w:pStyle w:val="Normal"/>
        <w:rPr>
          <w:rFonts w:ascii="Arial" w:hAnsi="Arial" w:cs="Arial"/>
          <w:sz w:val="22"/>
          <w:szCs w:val="22"/>
        </w:rPr>
      </w:pPr>
      <w:r>
        <w:rPr>
          <w:rFonts w:cs="Arial" w:ascii="Times New Roman" w:hAnsi="Times New Roman"/>
          <w:sz w:val="24"/>
          <w:szCs w:val="22"/>
        </w:rPr>
        <w:t>As a single agent, ___________________________________ [insert name of Real estate Entity and its Associate(s)] owe to you the following duties:</w:t>
      </w:r>
    </w:p>
    <w:p>
      <w:pPr>
        <w:pStyle w:val="Normal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</w:r>
    </w:p>
    <w:p>
      <w:pPr>
        <w:pStyle w:val="ListParagraph"/>
        <w:numPr>
          <w:ilvl w:val="0"/>
          <w:numId w:val="1"/>
        </w:numPr>
        <w:rPr>
          <w:rFonts w:ascii="Arial" w:hAnsi="Arial" w:cs="Arial"/>
          <w:sz w:val="22"/>
          <w:szCs w:val="22"/>
        </w:rPr>
      </w:pPr>
      <w:r>
        <w:rPr>
          <w:rFonts w:cs="Arial" w:ascii="Times New Roman" w:hAnsi="Times New Roman"/>
          <w:sz w:val="24"/>
          <w:szCs w:val="22"/>
        </w:rPr>
        <w:t>Dealing honestly and fairly;</w:t>
      </w:r>
    </w:p>
    <w:p>
      <w:pPr>
        <w:pStyle w:val="ListParagraph"/>
        <w:numPr>
          <w:ilvl w:val="0"/>
          <w:numId w:val="1"/>
        </w:numPr>
        <w:rPr>
          <w:rFonts w:ascii="Arial" w:hAnsi="Arial" w:cs="Arial"/>
          <w:sz w:val="22"/>
          <w:szCs w:val="22"/>
        </w:rPr>
      </w:pPr>
      <w:r>
        <w:rPr>
          <w:rFonts w:cs="Arial" w:ascii="Times New Roman" w:hAnsi="Times New Roman"/>
          <w:sz w:val="24"/>
          <w:szCs w:val="22"/>
        </w:rPr>
        <w:t>Loyalty;</w:t>
      </w:r>
    </w:p>
    <w:p>
      <w:pPr>
        <w:pStyle w:val="ListParagraph"/>
        <w:numPr>
          <w:ilvl w:val="0"/>
          <w:numId w:val="1"/>
        </w:numPr>
        <w:rPr>
          <w:rFonts w:ascii="Arial" w:hAnsi="Arial" w:cs="Arial"/>
          <w:sz w:val="22"/>
          <w:szCs w:val="22"/>
        </w:rPr>
      </w:pPr>
      <w:r>
        <w:rPr>
          <w:rFonts w:cs="Arial" w:ascii="Times New Roman" w:hAnsi="Times New Roman"/>
          <w:sz w:val="24"/>
          <w:szCs w:val="22"/>
        </w:rPr>
        <w:t>Confidentiality;</w:t>
      </w:r>
    </w:p>
    <w:p>
      <w:pPr>
        <w:pStyle w:val="ListParagraph"/>
        <w:numPr>
          <w:ilvl w:val="0"/>
          <w:numId w:val="1"/>
        </w:numPr>
        <w:rPr>
          <w:rFonts w:ascii="Arial" w:hAnsi="Arial" w:cs="Arial"/>
          <w:sz w:val="22"/>
          <w:szCs w:val="22"/>
        </w:rPr>
      </w:pPr>
      <w:r>
        <w:rPr>
          <w:rFonts w:cs="Arial" w:ascii="Times New Roman" w:hAnsi="Times New Roman"/>
          <w:sz w:val="24"/>
          <w:szCs w:val="22"/>
        </w:rPr>
        <w:t>Obedience;</w:t>
      </w:r>
    </w:p>
    <w:p>
      <w:pPr>
        <w:pStyle w:val="ListParagraph"/>
        <w:numPr>
          <w:ilvl w:val="0"/>
          <w:numId w:val="1"/>
        </w:numPr>
        <w:rPr>
          <w:rFonts w:ascii="Arial" w:hAnsi="Arial" w:cs="Arial"/>
          <w:sz w:val="22"/>
          <w:szCs w:val="22"/>
        </w:rPr>
      </w:pPr>
      <w:r>
        <w:rPr>
          <w:rFonts w:cs="Arial" w:ascii="Times New Roman" w:hAnsi="Times New Roman"/>
          <w:sz w:val="24"/>
          <w:szCs w:val="22"/>
        </w:rPr>
        <w:t>Full disclosure;</w:t>
      </w:r>
    </w:p>
    <w:p>
      <w:pPr>
        <w:pStyle w:val="ListParagraph"/>
        <w:numPr>
          <w:ilvl w:val="0"/>
          <w:numId w:val="1"/>
        </w:numPr>
        <w:rPr>
          <w:rFonts w:ascii="Arial" w:hAnsi="Arial" w:cs="Arial"/>
          <w:sz w:val="22"/>
          <w:szCs w:val="22"/>
        </w:rPr>
      </w:pPr>
      <w:r>
        <w:rPr>
          <w:rFonts w:cs="Arial" w:ascii="Times New Roman" w:hAnsi="Times New Roman"/>
          <w:sz w:val="24"/>
          <w:szCs w:val="22"/>
        </w:rPr>
        <w:t>Accounting for all funds;</w:t>
      </w:r>
    </w:p>
    <w:p>
      <w:pPr>
        <w:pStyle w:val="ListParagraph"/>
        <w:numPr>
          <w:ilvl w:val="0"/>
          <w:numId w:val="1"/>
        </w:numPr>
        <w:rPr>
          <w:rFonts w:ascii="Arial" w:hAnsi="Arial" w:cs="Arial"/>
          <w:sz w:val="22"/>
          <w:szCs w:val="22"/>
        </w:rPr>
      </w:pPr>
      <w:r>
        <w:rPr>
          <w:rFonts w:cs="Arial" w:ascii="Times New Roman" w:hAnsi="Times New Roman"/>
          <w:sz w:val="24"/>
          <w:szCs w:val="22"/>
        </w:rPr>
        <w:t>Skill, care, and diligence in the transaction;</w:t>
      </w:r>
    </w:p>
    <w:p>
      <w:pPr>
        <w:pStyle w:val="ListParagraph"/>
        <w:numPr>
          <w:ilvl w:val="0"/>
          <w:numId w:val="1"/>
        </w:numPr>
        <w:rPr>
          <w:rFonts w:ascii="Arial" w:hAnsi="Arial" w:cs="Arial"/>
          <w:sz w:val="22"/>
          <w:szCs w:val="22"/>
        </w:rPr>
      </w:pPr>
      <w:r>
        <w:rPr>
          <w:rFonts w:cs="Arial" w:ascii="Times New Roman" w:hAnsi="Times New Roman"/>
          <w:sz w:val="24"/>
          <w:szCs w:val="22"/>
        </w:rPr>
        <w:t>Presenting all offers and counteroffers in a timely manner, unless a party has previously directed the licensee otherwise in writing; and</w:t>
      </w:r>
    </w:p>
    <w:p>
      <w:pPr>
        <w:pStyle w:val="ListParagraph"/>
        <w:numPr>
          <w:ilvl w:val="0"/>
          <w:numId w:val="1"/>
        </w:numPr>
        <w:rPr>
          <w:rFonts w:ascii="Arial" w:hAnsi="Arial" w:cs="Arial"/>
          <w:sz w:val="22"/>
          <w:szCs w:val="22"/>
        </w:rPr>
      </w:pPr>
      <w:r>
        <w:rPr>
          <w:rFonts w:cs="Arial" w:ascii="Times New Roman" w:hAnsi="Times New Roman"/>
          <w:sz w:val="24"/>
          <w:szCs w:val="22"/>
        </w:rPr>
        <w:t>Disclosing all known facts that materially affect the value of residential real property and are not readily observable.</w:t>
      </w:r>
    </w:p>
    <w:p>
      <w:pPr>
        <w:pStyle w:val="Normal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</w:r>
    </w:p>
    <w:p>
      <w:pPr>
        <w:pStyle w:val="Normal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</w:r>
    </w:p>
    <w:p>
      <w:pPr>
        <w:pStyle w:val="Normal"/>
        <w:rPr>
          <w:rFonts w:ascii="Arial" w:hAnsi="Arial" w:cs="Arial"/>
          <w:sz w:val="22"/>
          <w:szCs w:val="22"/>
        </w:rPr>
      </w:pPr>
      <w:r>
        <w:rPr>
          <w:rFonts w:cs="Arial" w:ascii="Times New Roman" w:hAnsi="Times New Roman"/>
          <w:sz w:val="24"/>
          <w:szCs w:val="22"/>
        </w:rPr>
        <w:t>Date ________________ Signature ___________________________________</w:t>
      </w:r>
    </w:p>
    <w:p>
      <w:pPr>
        <w:pStyle w:val="Normal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</w:r>
    </w:p>
    <w:p>
      <w:pPr>
        <w:pStyle w:val="Normal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</w:r>
    </w:p>
    <w:p>
      <w:pPr>
        <w:pStyle w:val="Normal"/>
        <w:rPr>
          <w:rFonts w:ascii="Arial" w:hAnsi="Arial" w:cs="Arial"/>
          <w:sz w:val="22"/>
          <w:szCs w:val="22"/>
        </w:rPr>
      </w:pPr>
      <w:r>
        <w:rPr>
          <w:rFonts w:cs="Arial" w:ascii="Times New Roman" w:hAnsi="Times New Roman"/>
          <w:sz w:val="24"/>
          <w:szCs w:val="22"/>
        </w:rPr>
        <w:t>Date ________________ Signature ___________________________________</w:t>
      </w:r>
    </w:p>
    <w:p>
      <w:pPr>
        <w:pStyle w:val="Normal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</w:r>
      <w:bookmarkStart w:id="0" w:name="_GoBack"/>
      <w:bookmarkStart w:id="1" w:name="_GoBack"/>
      <w:bookmarkEnd w:id="1"/>
    </w:p>
    <w:sectPr>
      <w:footerReference w:type="default" r:id="rId2"/>
      <w:type w:val="nextPage"/>
      <w:pgSz w:w="12240" w:h="15840"/>
      <w:pgMar w:left="1440" w:right="1440" w:gutter="0" w:header="0" w:top="1440" w:footer="720" w:bottom="1440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 w:characterSet="windows-1252"/>
    <w:family w:val="roman"/>
    <w:pitch w:val="variable"/>
  </w:font>
  <w:font w:name="Symbol">
    <w:charset w:val="02"/>
    <w:family w:val="roman"/>
    <w:pitch w:val="variable"/>
  </w:font>
  <w:font w:name="Arial">
    <w:charset w:val="00" w:characterSet="windows-1252"/>
    <w:family w:val="swiss"/>
    <w:pitch w:val="variable"/>
  </w:font>
  <w:font w:name="Liberation Serif">
    <w:altName w:val="Times New Roman"/>
    <w:charset w:val="01" w:characterSet="utf-8"/>
    <w:family w:val="roman"/>
    <w:pitch w:val="variable"/>
  </w:font>
  <w:font w:name="Calibri">
    <w:charset w:val="01" w:characterSet="utf-8"/>
    <w:family w:val="roman"/>
    <w:pitch w:val="variable"/>
  </w:font>
  <w:font w:name="Times New Roman">
    <w:charset w:val="01" w:characterSet="utf-8"/>
    <w:family w:val="roman"/>
    <w:pitch w:val="variable"/>
  </w:font>
  <w:font w:name="Liberation Sans">
    <w:altName w:val="Arial"/>
    <w:charset w:val="01" w:characterSet="utf-8"/>
    <w:family w:val="swiss"/>
    <w:pitch w:val="variable"/>
  </w:font>
  <w:font w:name="Arial">
    <w:charset w:val="01" w:characterSet="utf-8"/>
    <w:family w:val="swiss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tabs>
        <w:tab w:val="clear" w:pos="4680"/>
        <w:tab w:val="clear" w:pos="9360"/>
        <w:tab w:val="left" w:pos="6180" w:leader="none"/>
      </w:tabs>
      <w:ind w:end="360"/>
      <w:rPr>
        <w:rFonts w:ascii="Arial" w:hAnsi="Arial" w:cs="Arial"/>
        <w:sz w:val="20"/>
        <w:szCs w:val="20"/>
      </w:rPr>
    </w:pPr>
    <w:r>
      <w:rPr>
        <w:rFonts w:cs="Arial" w:ascii="Arial" w:hAnsi="Arial"/>
        <w:sz w:val="20"/>
        <w:szCs w:val="20"/>
      </w:rPr>
    </w:r>
    <w:r>
      <mc:AlternateContent>
        <mc:Choice Requires="wps">
          <w:drawing>
            <wp:anchor behindDoc="0" distT="0" distB="0" distL="0" distR="0" simplePos="0" locked="0" layoutInCell="0" allowOverlap="1" relativeHeight="2">
              <wp:simplePos x="0" y="0"/>
              <wp:positionH relativeFrom="page">
                <wp:posOffset>5855335</wp:posOffset>
              </wp:positionH>
              <wp:positionV relativeFrom="paragraph">
                <wp:posOffset>81280</wp:posOffset>
              </wp:positionV>
              <wp:extent cx="1232535" cy="146050"/>
              <wp:effectExtent l="0" t="0" r="0" b="0"/>
              <wp:wrapNone/>
              <wp:docPr id="1" name="Frame1"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232535" cy="146050"/>
                      </a:xfrm>
                      <a:prstGeom prst="rect"/>
                      <a:solidFill>
                        <a:srgbClr val="FFFFFF">
                          <a:alpha val="0"/>
                        </a:srgbClr>
                      </a:solidFill>
                    </wps:spPr>
                    <wps:txbx>
                      <w:txbxContent>
                        <w:p>
                          <w:pPr>
                            <w:pStyle w:val="Footer"/>
                            <w:pBdr/>
                            <w:jc w:val="end"/>
                            <w:rPr>
                              <w:rFonts w:ascii="Arial" w:hAnsi="Arial" w:cs="Arial"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cs="Arial" w:ascii="Arial" w:hAnsi="Arial"/>
                              <w:sz w:val="20"/>
                              <w:szCs w:val="20"/>
                            </w:rPr>
                          </w:r>
                        </w:p>
                      </w:txbxContent>
                    </wps:txbx>
                    <wps:bodyPr anchor="t" lIns="0" tIns="0" rIns="0" bIns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fillcolor="#FFFFFF" style="position:absolute;rotation:-0;width:97.05pt;height:11.5pt;mso-wrap-distance-left:0pt;mso-wrap-distance-right:0pt;mso-wrap-distance-top:0pt;mso-wrap-distance-bottom:0pt;margin-top:6.4pt;mso-position-vertical-relative:text;margin-left:461.05pt;mso-position-horizontal-relative:page">
              <v:fill opacity="0f"/>
              <v:textbox inset="0in,0in,0in,0in">
                <w:txbxContent>
                  <w:p>
                    <w:pPr>
                      <w:pStyle w:val="Footer"/>
                      <w:pBdr/>
                      <w:jc w:val="end"/>
                      <w:rPr>
                        <w:rFonts w:ascii="Arial" w:hAnsi="Arial" w:cs="Arial"/>
                        <w:sz w:val="20"/>
                        <w:szCs w:val="20"/>
                      </w:rPr>
                    </w:pPr>
                    <w:r>
                      <w:rPr>
                        <w:rFonts w:cs="Arial" w:ascii="Arial" w:hAnsi="Arial"/>
                        <w:sz w:val="20"/>
                        <w:szCs w:val="20"/>
                      </w:rPr>
                    </w:r>
                  </w:p>
                </w:txbxContent>
              </v:textbox>
              <w10:wrap type="none"/>
            </v:rect>
          </w:pict>
        </mc:Fallback>
      </mc:AlternateContent>
    </w:r>
  </w:p>
</w:ft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decimal"/>
      <w:lvlText w:val="%1."/>
      <w:lvlJc w:val="start"/>
      <w:pPr>
        <w:tabs>
          <w:tab w:val="num" w:pos="0"/>
        </w:tabs>
        <w:ind w:start="720" w:hanging="360"/>
      </w:pPr>
      <w:rPr/>
    </w:lvl>
    <w:lvl w:ilvl="1">
      <w:start w:val="1"/>
      <w:numFmt w:val="lowerLetter"/>
      <w:lvlText w:val="%2."/>
      <w:lvlJc w:val="start"/>
      <w:pPr>
        <w:tabs>
          <w:tab w:val="num" w:pos="0"/>
        </w:tabs>
        <w:ind w:start="1440" w:hanging="360"/>
      </w:pPr>
      <w:rPr/>
    </w:lvl>
    <w:lvl w:ilvl="2">
      <w:start w:val="1"/>
      <w:numFmt w:val="lowerRoman"/>
      <w:lvlText w:val="%3."/>
      <w:lvlJc w:val="end"/>
      <w:pPr>
        <w:tabs>
          <w:tab w:val="num" w:pos="0"/>
        </w:tabs>
        <w:ind w:start="2160" w:hanging="180"/>
      </w:pPr>
      <w:rPr/>
    </w:lvl>
    <w:lvl w:ilvl="3">
      <w:start w:val="1"/>
      <w:numFmt w:val="decimal"/>
      <w:lvlText w:val="%4."/>
      <w:lvlJc w:val="start"/>
      <w:pPr>
        <w:tabs>
          <w:tab w:val="num" w:pos="0"/>
        </w:tabs>
        <w:ind w:start="2880" w:hanging="360"/>
      </w:pPr>
      <w:rPr/>
    </w:lvl>
    <w:lvl w:ilvl="4">
      <w:start w:val="1"/>
      <w:numFmt w:val="lowerLetter"/>
      <w:lvlText w:val="%5."/>
      <w:lvlJc w:val="start"/>
      <w:pPr>
        <w:tabs>
          <w:tab w:val="num" w:pos="0"/>
        </w:tabs>
        <w:ind w:start="3600" w:hanging="360"/>
      </w:pPr>
      <w:rPr/>
    </w:lvl>
    <w:lvl w:ilvl="5">
      <w:start w:val="1"/>
      <w:numFmt w:val="lowerRoman"/>
      <w:lvlText w:val="%6."/>
      <w:lvlJc w:val="end"/>
      <w:pPr>
        <w:tabs>
          <w:tab w:val="num" w:pos="0"/>
        </w:tabs>
        <w:ind w:start="4320" w:hanging="180"/>
      </w:pPr>
      <w:rPr/>
    </w:lvl>
    <w:lvl w:ilvl="6">
      <w:start w:val="1"/>
      <w:numFmt w:val="decimal"/>
      <w:lvlText w:val="%7."/>
      <w:lvlJc w:val="start"/>
      <w:pPr>
        <w:tabs>
          <w:tab w:val="num" w:pos="0"/>
        </w:tabs>
        <w:ind w:start="5040" w:hanging="360"/>
      </w:pPr>
      <w:rPr/>
    </w:lvl>
    <w:lvl w:ilvl="7">
      <w:start w:val="1"/>
      <w:numFmt w:val="lowerLetter"/>
      <w:lvlText w:val="%8."/>
      <w:lvlJc w:val="start"/>
      <w:pPr>
        <w:tabs>
          <w:tab w:val="num" w:pos="0"/>
        </w:tabs>
        <w:ind w:start="5760" w:hanging="360"/>
      </w:pPr>
      <w:rPr/>
    </w:lvl>
    <w:lvl w:ilvl="8">
      <w:start w:val="1"/>
      <w:numFmt w:val="lowerRoman"/>
      <w:lvlText w:val="%9."/>
      <w:lvlJc w:val="end"/>
      <w:pPr>
        <w:tabs>
          <w:tab w:val="num" w:pos="0"/>
        </w:tabs>
        <w:ind w:start="6480" w:hanging="180"/>
      </w:pPr>
      <w:rPr/>
    </w:lvl>
  </w:abstractNum>
  <w:abstractNum w:abstractNumId="2">
    <w:lvl w:ilvl="0">
      <w:start w:val="1"/>
      <w:numFmt w:val="none"/>
      <w:suff w:val="nothing"/>
      <w:lvlText w:val="%1"/>
      <w:lvlJc w:val="start"/>
      <w:pPr>
        <w:tabs>
          <w:tab w:val="num" w:pos="0"/>
        </w:tabs>
        <w:ind w:start="0" w:hanging="0"/>
      </w:pPr>
    </w:lvl>
    <w:lvl w:ilvl="1">
      <w:start w:val="1"/>
      <w:numFmt w:val="none"/>
      <w:suff w:val="nothing"/>
      <w:lvlText w:val="%2"/>
      <w:lvlJc w:val="start"/>
      <w:pPr>
        <w:tabs>
          <w:tab w:val="num" w:pos="0"/>
        </w:tabs>
        <w:ind w:start="0" w:hanging="0"/>
      </w:pPr>
    </w:lvl>
    <w:lvl w:ilvl="2">
      <w:start w:val="1"/>
      <w:numFmt w:val="none"/>
      <w:suff w:val="nothing"/>
      <w:lvlText w:val="%3"/>
      <w:lvlJc w:val="start"/>
      <w:pPr>
        <w:tabs>
          <w:tab w:val="num" w:pos="0"/>
        </w:tabs>
        <w:ind w:start="0" w:hanging="0"/>
      </w:pPr>
    </w:lvl>
    <w:lvl w:ilvl="3">
      <w:start w:val="1"/>
      <w:numFmt w:val="none"/>
      <w:suff w:val="nothing"/>
      <w:lvlText w:val="%4"/>
      <w:lvlJc w:val="start"/>
      <w:pPr>
        <w:tabs>
          <w:tab w:val="num" w:pos="0"/>
        </w:tabs>
        <w:ind w:start="0" w:hanging="0"/>
      </w:pPr>
    </w:lvl>
    <w:lvl w:ilvl="4">
      <w:start w:val="1"/>
      <w:numFmt w:val="none"/>
      <w:suff w:val="nothing"/>
      <w:lvlText w:val="%5"/>
      <w:lvlJc w:val="start"/>
      <w:pPr>
        <w:tabs>
          <w:tab w:val="num" w:pos="0"/>
        </w:tabs>
        <w:ind w:start="0" w:hanging="0"/>
      </w:pPr>
    </w:lvl>
    <w:lvl w:ilvl="5">
      <w:start w:val="1"/>
      <w:numFmt w:val="none"/>
      <w:suff w:val="nothing"/>
      <w:lvlText w:val="%6"/>
      <w:lvlJc w:val="start"/>
      <w:pPr>
        <w:tabs>
          <w:tab w:val="num" w:pos="0"/>
        </w:tabs>
        <w:ind w:start="0" w:hanging="0"/>
      </w:pPr>
    </w:lvl>
    <w:lvl w:ilvl="6">
      <w:start w:val="1"/>
      <w:numFmt w:val="none"/>
      <w:suff w:val="nothing"/>
      <w:lvlText w:val="%7"/>
      <w:lvlJc w:val="start"/>
      <w:pPr>
        <w:tabs>
          <w:tab w:val="num" w:pos="0"/>
        </w:tabs>
        <w:ind w:start="0" w:hanging="0"/>
      </w:pPr>
    </w:lvl>
    <w:lvl w:ilvl="7">
      <w:start w:val="1"/>
      <w:numFmt w:val="none"/>
      <w:suff w:val="nothing"/>
      <w:lvlText w:val="%8"/>
      <w:lvlJc w:val="start"/>
      <w:pPr>
        <w:tabs>
          <w:tab w:val="num" w:pos="0"/>
        </w:tabs>
        <w:ind w:start="0" w:hanging="0"/>
      </w:pPr>
    </w:lvl>
    <w:lvl w:ilvl="8">
      <w:start w:val="1"/>
      <w:numFmt w:val="none"/>
      <w:suff w:val="nothing"/>
      <w:lvlText w:val="%9"/>
      <w:lvlJc w:val="start"/>
      <w:pPr>
        <w:tabs>
          <w:tab w:val="num" w:pos="0"/>
        </w:tabs>
        <w:ind w:star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00"/>
  <w:defaultTabStop w:val="720"/>
  <w:autoHyphenation w:val="true"/>
  <w:hyphenationZone w:val="0"/>
  <w:compat>
    <w:compatSetting w:name="compatibilityMode" w:uri="http://schemas.microsoft.com/office/word" w:val="15"/>
    <w:compatSetting w:name="useWord2013TrackBottomHyphenation" w:uri="http://schemas.microsoft.com/office/word" w:val="1"/>
    <w:compatSetting w:name="allowHyphenationAtTrackBottom" w:uri="http://schemas.microsoft.com/office/word" w:val="1"/>
  </w:compat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Tahoma"/>
        <w:sz w:val="24"/>
        <w:szCs w:val="24"/>
        <w:lang w:val="en-US" w:eastAsia="en-US" w:bidi="ar-SA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kinsoku w:val="true"/>
      <w:overflowPunct w:val="true"/>
      <w:autoSpaceDE w:val="true"/>
      <w:bidi w:val="0"/>
      <w:spacing w:before="0" w:after="0"/>
      <w:jc w:val="start"/>
    </w:pPr>
    <w:rPr>
      <w:rFonts w:ascii="Calibri" w:hAnsi="Calibri" w:eastAsia="Calibri"/>
      <w:color w:val="auto"/>
      <w:kern w:val="0"/>
      <w:sz w:val="24"/>
      <w:szCs w:val="24"/>
      <w:lang w:val="en-US" w:eastAsia="en-US" w:bidi="ar-SA"/>
    </w:rPr>
  </w:style>
  <w:style w:type="character" w:styleId="DefaultParagraphFont">
    <w:name w:val="Default Paragraph Font"/>
    <w:qFormat/>
    <w:rPr/>
  </w:style>
  <w:style w:type="character" w:styleId="HeaderChar">
    <w:name w:val="Header Char"/>
    <w:basedOn w:val="DefaultParagraphFont"/>
    <w:link w:val="Header"/>
    <w:qFormat/>
    <w:rPr/>
  </w:style>
  <w:style w:type="character" w:styleId="FooterChar">
    <w:name w:val="Footer Char"/>
    <w:basedOn w:val="DefaultParagraphFont"/>
    <w:link w:val="Footer"/>
    <w:qFormat/>
    <w:rPr/>
  </w:style>
  <w:style w:type="character" w:styleId="Hyperlink">
    <w:name w:val="Hyperlink"/>
    <w:basedOn w:val="DefaultParagraphFont"/>
    <w:rPr>
      <w:color w:themeColor="hyperlink" w:val="0563C1"/>
      <w:u w:val="single"/>
    </w:rPr>
  </w:style>
  <w:style w:type="character" w:styleId="PageNumber">
    <w:name w:val="page number"/>
    <w:basedOn w:val="DefaultParagraphFont"/>
    <w:rPr/>
  </w:style>
  <w:style w:type="character" w:styleId="BalloonTextChar">
    <w:name w:val="Balloon Text Char"/>
    <w:basedOn w:val="DefaultParagraphFont"/>
    <w:link w:val="BalloonText"/>
    <w:qFormat/>
    <w:rPr>
      <w:rFonts w:ascii="Times New Roman" w:hAnsi="Times New Roman" w:cs="Times New Roman"/>
      <w:sz w:val="18"/>
      <w:szCs w:val="18"/>
    </w:rPr>
  </w:style>
  <w:style w:type="paragraph" w:styleId="Heading">
    <w:name w:val="Heading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PingFang SC" w:cs="Arial Unicode MS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Arial Unicode M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 Unicode MS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Arial Unicode MS"/>
    </w:rPr>
  </w:style>
  <w:style w:type="paragraph" w:styleId="ListParagraph">
    <w:name w:val="List Paragraph"/>
    <w:basedOn w:val="Normal"/>
    <w:qFormat/>
    <w:pPr>
      <w:spacing w:before="0" w:after="0"/>
      <w:ind w:start="720"/>
      <w:contextualSpacing/>
    </w:pPr>
    <w:rPr/>
  </w:style>
  <w:style w:type="paragraph" w:styleId="HeaderandFooter">
    <w:name w:val="Header and Footer"/>
    <w:basedOn w:val="Normal"/>
    <w:qFormat/>
    <w:pPr/>
    <w:rPr/>
  </w:style>
  <w:style w:type="paragraph" w:styleId="Header">
    <w:name w:val="header"/>
    <w:basedOn w:val="Normal"/>
    <w:link w:val="HeaderChar"/>
    <w:pPr>
      <w:tabs>
        <w:tab w:val="clear" w:pos="720"/>
        <w:tab w:val="center" w:pos="4680" w:leader="none"/>
        <w:tab w:val="right" w:pos="9360" w:leader="none"/>
      </w:tabs>
    </w:pPr>
    <w:rPr/>
  </w:style>
  <w:style w:type="paragraph" w:styleId="Footer">
    <w:name w:val="footer"/>
    <w:basedOn w:val="Normal"/>
    <w:link w:val="FooterChar"/>
    <w:pPr>
      <w:tabs>
        <w:tab w:val="clear" w:pos="720"/>
        <w:tab w:val="center" w:pos="4680" w:leader="none"/>
        <w:tab w:val="right" w:pos="9360" w:leader="none"/>
      </w:tabs>
    </w:pPr>
    <w:rPr/>
  </w:style>
  <w:style w:type="paragraph" w:styleId="BalloonText">
    <w:name w:val="Balloon Text"/>
    <w:basedOn w:val="Normal"/>
    <w:link w:val="BalloonTextChar"/>
    <w:qFormat/>
    <w:pPr/>
    <w:rPr>
      <w:rFonts w:ascii="Times New Roman" w:hAnsi="Times New Roman" w:cs="Times New Roman"/>
      <w:sz w:val="18"/>
      <w:szCs w:val="18"/>
    </w:rPr>
  </w:style>
  <w:style w:type="paragraph" w:styleId="FrameContents">
    <w:name w:val="Frame Contents"/>
    <w:basedOn w:val="Normal"/>
    <w:qFormat/>
    <w:pPr/>
    <w:rPr/>
  </w:style>
  <w:style w:type="numbering" w:styleId="NoList">
    <w:name w:val="No List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oter" Target="footer1.xml"/><Relationship Id="rId3" Type="http://schemas.openxmlformats.org/officeDocument/2006/relationships/numbering" Target="numbering.xml"/><Relationship Id="rId4" Type="http://schemas.openxmlformats.org/officeDocument/2006/relationships/fontTable" Target="fontTable.xml"/><Relationship Id="rId5" Type="http://schemas.openxmlformats.org/officeDocument/2006/relationships/settings" Target="settings.xml"/><Relationship Id="rId6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Office Theme">
  <a:themeElements>
    <a:clrScheme name="Office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itchFamily="0" charset="1"/>
        <a:ea typeface="DejaVu Sans" pitchFamily="0" charset="1"/>
        <a:cs typeface="DejaVu Sans" pitchFamily="0" charset="1"/>
      </a:majorFont>
      <a:minorFont>
        <a:latin typeface="Arial" pitchFamily="0" charset="1"/>
        <a:ea typeface="DejaVu Sans" pitchFamily="0" charset="1"/>
        <a:cs typeface="DejaVu Sans" pitchFamily="0" charset="1"/>
      </a:minorFont>
    </a:fontScheme>
    <a:fmtScheme>
      <a:fillStyleLst>
        <a:solidFill>
          <a:schemeClr val="phClr"/>
        </a:solidFill>
        <a:solidFill>
          <a:schemeClr val="phClr"/>
        </a:solidFill>
        <a:solidFill>
          <a:schemeClr val="phClr"/>
        </a:solidFill>
      </a:fillStyleLst>
      <a:lnStyleLst>
        <a:ln w="6350" cap="flat" cmpd="sng" algn="ctr">
          <a:prstDash val="solid"/>
          <a:miter/>
        </a:ln>
        <a:ln w="6350" cap="flat" cmpd="sng" algn="ctr">
          <a:prstDash val="solid"/>
          <a:miter/>
        </a:ln>
        <a:ln w="6350" cap="flat" cmpd="sng" algn="ctr"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/>
        </a:solidFill>
        <a:solidFill>
          <a:schemeClr val="phClr"/>
        </a:soli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Application>LibreOffice/24.8.4.2$MacOSX_X86_64 LibreOffice_project/bb3cfa12c7b1bf994ecc5649a80400d06cd71002</Application>
  <AppVersion>15.0000</AppVersion>
  <Pages>1</Pages>
  <Words>118</Words>
  <Characters>753</Characters>
  <CharactersWithSpaces>848</CharactersWithSpaces>
  <Paragraphs>14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2019-05-19T00:42:00Z</dcterms:created>
  <dc:creator>eForms</dc:creator>
  <dc:description/>
  <dc:language>en-IN</dc:language>
  <cp:lastModifiedBy>Joseph Gendron</cp:lastModifiedBy>
  <dcterms:modified xsi:type="dcterms:W3CDTF">2019-05-19T00:42:00Z</dcterms:modified>
  <cp:revision>2</cp:revision>
  <dc:subject/>
  <dc:title>Florida Single Agent Notice Disclosure Form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